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B955D" w14:textId="77777777" w:rsidR="002E0F7F" w:rsidRPr="005B06AD" w:rsidRDefault="002E0F7F">
      <w:pPr>
        <w:spacing w:before="28" w:line="256" w:lineRule="auto"/>
        <w:ind w:left="127" w:right="560"/>
        <w:rPr>
          <w:sz w:val="32"/>
          <w:szCs w:val="32"/>
        </w:rPr>
      </w:pPr>
      <w:bookmarkStart w:id="0" w:name="_GoBack"/>
      <w:bookmarkEnd w:id="0"/>
    </w:p>
    <w:p w14:paraId="4A7301CC" w14:textId="733C6A50" w:rsidR="005B06AD" w:rsidRPr="005B06AD" w:rsidRDefault="008B5803" w:rsidP="005B06AD">
      <w:pPr>
        <w:jc w:val="center"/>
        <w:rPr>
          <w:bCs/>
          <w:sz w:val="32"/>
          <w:szCs w:val="32"/>
          <w:lang w:val="it-IT"/>
        </w:rPr>
      </w:pPr>
      <w:r w:rsidRPr="005B06AD">
        <w:rPr>
          <w:bCs/>
          <w:sz w:val="32"/>
          <w:szCs w:val="32"/>
          <w:lang w:val="it-IT"/>
        </w:rPr>
        <w:t>File supplementare S2 per l'articolo</w:t>
      </w:r>
    </w:p>
    <w:p w14:paraId="0996A4C9" w14:textId="6FC78136" w:rsidR="005B06AD" w:rsidRPr="005B06AD" w:rsidRDefault="008B5803" w:rsidP="005B06AD">
      <w:pPr>
        <w:jc w:val="center"/>
        <w:rPr>
          <w:b/>
          <w:sz w:val="32"/>
          <w:szCs w:val="32"/>
          <w:lang w:val="it-IT"/>
        </w:rPr>
      </w:pPr>
      <w:r w:rsidRPr="005B06AD">
        <w:rPr>
          <w:b/>
          <w:sz w:val="32"/>
          <w:szCs w:val="32"/>
          <w:lang w:val="it-IT"/>
        </w:rPr>
        <w:t>“</w:t>
      </w:r>
      <w:r w:rsidR="003207FF" w:rsidRPr="005B06AD">
        <w:rPr>
          <w:b/>
          <w:sz w:val="32"/>
          <w:szCs w:val="32"/>
          <w:lang w:val="it-IT"/>
        </w:rPr>
        <w:t>Appello degli scienziati del mondo sull’emergenza climatica</w:t>
      </w:r>
      <w:r w:rsidRPr="005B06AD">
        <w:rPr>
          <w:b/>
          <w:sz w:val="32"/>
          <w:szCs w:val="32"/>
          <w:lang w:val="it-IT"/>
        </w:rPr>
        <w:t>"</w:t>
      </w:r>
    </w:p>
    <w:p w14:paraId="55BE0526" w14:textId="3918DB02" w:rsidR="008B5803" w:rsidRPr="005B06AD" w:rsidRDefault="008B5803" w:rsidP="005B06AD">
      <w:pPr>
        <w:jc w:val="center"/>
        <w:rPr>
          <w:bCs/>
          <w:sz w:val="32"/>
          <w:szCs w:val="32"/>
          <w:lang w:val="it-IT"/>
        </w:rPr>
      </w:pPr>
      <w:r w:rsidRPr="005B06AD">
        <w:rPr>
          <w:bCs/>
          <w:sz w:val="32"/>
          <w:szCs w:val="32"/>
          <w:lang w:val="it-IT"/>
        </w:rPr>
        <w:t xml:space="preserve">pubblicato su </w:t>
      </w:r>
      <w:proofErr w:type="spellStart"/>
      <w:r w:rsidRPr="005B06AD">
        <w:rPr>
          <w:bCs/>
          <w:sz w:val="32"/>
          <w:szCs w:val="32"/>
          <w:lang w:val="it-IT"/>
        </w:rPr>
        <w:t>BioScience</w:t>
      </w:r>
      <w:proofErr w:type="spellEnd"/>
      <w:r w:rsidRPr="005B06AD">
        <w:rPr>
          <w:bCs/>
          <w:sz w:val="32"/>
          <w:szCs w:val="32"/>
          <w:lang w:val="it-IT"/>
        </w:rPr>
        <w:t xml:space="preserve"> nel 2019 da William J. </w:t>
      </w:r>
      <w:proofErr w:type="spellStart"/>
      <w:r w:rsidRPr="005B06AD">
        <w:rPr>
          <w:bCs/>
          <w:sz w:val="32"/>
          <w:szCs w:val="32"/>
          <w:lang w:val="it-IT"/>
        </w:rPr>
        <w:t>Ripple</w:t>
      </w:r>
      <w:proofErr w:type="spellEnd"/>
      <w:r w:rsidRPr="005B06AD">
        <w:rPr>
          <w:bCs/>
          <w:sz w:val="32"/>
          <w:szCs w:val="32"/>
          <w:lang w:val="it-IT"/>
        </w:rPr>
        <w:t xml:space="preserve">, Christopher </w:t>
      </w:r>
      <w:proofErr w:type="spellStart"/>
      <w:r w:rsidRPr="005B06AD">
        <w:rPr>
          <w:bCs/>
          <w:sz w:val="32"/>
          <w:szCs w:val="32"/>
          <w:lang w:val="it-IT"/>
        </w:rPr>
        <w:t>Wolf</w:t>
      </w:r>
      <w:proofErr w:type="spellEnd"/>
      <w:r w:rsidRPr="005B06AD">
        <w:rPr>
          <w:bCs/>
          <w:sz w:val="32"/>
          <w:szCs w:val="32"/>
          <w:lang w:val="it-IT"/>
        </w:rPr>
        <w:t xml:space="preserve">, Thomas M. </w:t>
      </w:r>
      <w:proofErr w:type="spellStart"/>
      <w:r w:rsidRPr="005B06AD">
        <w:rPr>
          <w:bCs/>
          <w:sz w:val="32"/>
          <w:szCs w:val="32"/>
          <w:lang w:val="it-IT"/>
        </w:rPr>
        <w:t>Newsome</w:t>
      </w:r>
      <w:proofErr w:type="spellEnd"/>
      <w:r w:rsidRPr="005B06AD">
        <w:rPr>
          <w:bCs/>
          <w:sz w:val="32"/>
          <w:szCs w:val="32"/>
          <w:lang w:val="it-IT"/>
        </w:rPr>
        <w:t xml:space="preserve">, Phoebe Barnard e William R. </w:t>
      </w:r>
      <w:proofErr w:type="spellStart"/>
      <w:r w:rsidRPr="005B06AD">
        <w:rPr>
          <w:bCs/>
          <w:sz w:val="32"/>
          <w:szCs w:val="32"/>
          <w:lang w:val="it-IT"/>
        </w:rPr>
        <w:t>Moomaw</w:t>
      </w:r>
      <w:proofErr w:type="spellEnd"/>
      <w:r w:rsidRPr="005B06AD">
        <w:rPr>
          <w:bCs/>
          <w:sz w:val="32"/>
          <w:szCs w:val="32"/>
          <w:lang w:val="it-IT"/>
        </w:rPr>
        <w:t xml:space="preserve"> con 11.258 scienziati firmatari di 153 paesi.</w:t>
      </w:r>
    </w:p>
    <w:p w14:paraId="75D86016" w14:textId="77777777" w:rsidR="002E0F7F" w:rsidRPr="005B06AD" w:rsidRDefault="002E0F7F">
      <w:pPr>
        <w:pStyle w:val="Corpotesto"/>
        <w:ind w:left="0"/>
        <w:rPr>
          <w:sz w:val="22"/>
          <w:lang w:val="it-IT"/>
        </w:rPr>
      </w:pPr>
    </w:p>
    <w:p w14:paraId="08EB31AB" w14:textId="77777777" w:rsidR="002E0F7F" w:rsidRPr="005B06AD" w:rsidRDefault="002E0F7F">
      <w:pPr>
        <w:pStyle w:val="Corpotesto"/>
        <w:ind w:left="0"/>
        <w:rPr>
          <w:sz w:val="22"/>
          <w:lang w:val="it-IT"/>
        </w:rPr>
      </w:pPr>
    </w:p>
    <w:p w14:paraId="41DD2265" w14:textId="77777777" w:rsidR="002E0F7F" w:rsidRPr="005B06AD" w:rsidRDefault="002E0F7F">
      <w:pPr>
        <w:pStyle w:val="Corpotesto"/>
        <w:ind w:left="0"/>
        <w:rPr>
          <w:sz w:val="22"/>
          <w:lang w:val="it-IT"/>
        </w:rPr>
      </w:pPr>
    </w:p>
    <w:p w14:paraId="5B7D5C26" w14:textId="77777777" w:rsidR="002E0F7F" w:rsidRPr="005B06AD" w:rsidRDefault="002E0F7F">
      <w:pPr>
        <w:pStyle w:val="Corpotesto"/>
        <w:ind w:left="0"/>
        <w:rPr>
          <w:sz w:val="22"/>
          <w:lang w:val="it-IT"/>
        </w:rPr>
      </w:pPr>
    </w:p>
    <w:p w14:paraId="73450760" w14:textId="77777777" w:rsidR="002E0F7F" w:rsidRPr="005B06AD" w:rsidRDefault="002E0F7F">
      <w:pPr>
        <w:pStyle w:val="Corpotesto"/>
        <w:ind w:left="0"/>
        <w:rPr>
          <w:sz w:val="22"/>
          <w:lang w:val="it-IT"/>
        </w:rPr>
      </w:pPr>
    </w:p>
    <w:p w14:paraId="3A38EB75" w14:textId="77777777" w:rsidR="002E0F7F" w:rsidRPr="005B06AD" w:rsidRDefault="002E0F7F">
      <w:pPr>
        <w:pStyle w:val="Corpotesto"/>
        <w:spacing w:before="1"/>
        <w:ind w:left="0"/>
        <w:rPr>
          <w:sz w:val="20"/>
          <w:lang w:val="it-IT"/>
        </w:rPr>
      </w:pPr>
    </w:p>
    <w:p w14:paraId="34ADAB77" w14:textId="77777777" w:rsidR="002E0F7F" w:rsidRPr="005B06AD" w:rsidRDefault="0079706B">
      <w:pPr>
        <w:ind w:left="127"/>
        <w:rPr>
          <w:b/>
          <w:sz w:val="28"/>
          <w:lang w:val="it-IT"/>
        </w:rPr>
      </w:pPr>
      <w:r w:rsidRPr="005B06AD">
        <w:rPr>
          <w:b/>
          <w:sz w:val="28"/>
          <w:lang w:val="it-IT"/>
        </w:rPr>
        <w:t>Sommario</w:t>
      </w:r>
    </w:p>
    <w:sdt>
      <w:sdtPr>
        <w:rPr>
          <w:b/>
          <w:bCs/>
        </w:rPr>
        <w:id w:val="-660472133"/>
        <w:docPartObj>
          <w:docPartGallery w:val="Table of Contents"/>
          <w:docPartUnique/>
        </w:docPartObj>
      </w:sdtPr>
      <w:sdtEndPr/>
      <w:sdtContent>
        <w:p w14:paraId="0597C468" w14:textId="4B6A409F" w:rsidR="002E0F7F" w:rsidRPr="005B06AD" w:rsidRDefault="0079706B">
          <w:pPr>
            <w:pStyle w:val="Sommario2"/>
            <w:tabs>
              <w:tab w:val="right" w:leader="dot" w:pos="9938"/>
            </w:tabs>
            <w:spacing w:before="322"/>
            <w:rPr>
              <w:lang w:val="it-IT"/>
            </w:rPr>
          </w:pPr>
          <w:r w:rsidRPr="005B06AD">
            <w:rPr>
              <w:b/>
              <w:lang w:val="it-IT"/>
            </w:rPr>
            <w:t>Figura S1</w:t>
          </w:r>
          <w:r w:rsidRPr="005B06AD">
            <w:rPr>
              <w:lang w:val="it-IT"/>
            </w:rPr>
            <w:t xml:space="preserve">. </w:t>
          </w:r>
          <w:r w:rsidR="002F6F83" w:rsidRPr="005B06AD">
            <w:rPr>
              <w:w w:val="76"/>
              <w:lang w:val="it-IT"/>
            </w:rPr>
            <w:t>C</w:t>
          </w:r>
          <w:r w:rsidR="00DE5234" w:rsidRPr="005B06AD">
            <w:rPr>
              <w:w w:val="76"/>
              <w:lang w:val="it-IT"/>
            </w:rPr>
            <w:t>O</w:t>
          </w:r>
          <w:r w:rsidR="002F6F83" w:rsidRPr="005B06AD">
            <w:rPr>
              <w:w w:val="97"/>
              <w:vertAlign w:val="subscript"/>
              <w:lang w:val="it-IT"/>
            </w:rPr>
            <w:t>2</w:t>
          </w:r>
          <w:r w:rsidRPr="005B06AD">
            <w:rPr>
              <w:lang w:val="it-IT"/>
            </w:rPr>
            <w:t xml:space="preserve"> media mensile a Mauna </w:t>
          </w:r>
          <w:proofErr w:type="spellStart"/>
          <w:r w:rsidRPr="005B06AD">
            <w:rPr>
              <w:lang w:val="it-IT"/>
            </w:rPr>
            <w:t>Loa</w:t>
          </w:r>
          <w:proofErr w:type="spellEnd"/>
          <w:r w:rsidRPr="005B06AD">
            <w:rPr>
              <w:lang w:val="it-IT"/>
            </w:rPr>
            <w:t>, Hawaii</w:t>
          </w:r>
          <w:r w:rsidRPr="005B06AD">
            <w:rPr>
              <w:lang w:val="it-IT"/>
            </w:rPr>
            <w:tab/>
            <w:t>2</w:t>
          </w:r>
        </w:p>
        <w:p w14:paraId="2A568AE5" w14:textId="77777777" w:rsidR="002E0F7F" w:rsidRPr="005B06AD" w:rsidRDefault="0079706B">
          <w:pPr>
            <w:pStyle w:val="Sommario2"/>
            <w:tabs>
              <w:tab w:val="right" w:leader="dot" w:pos="9938"/>
            </w:tabs>
            <w:spacing w:before="68"/>
            <w:rPr>
              <w:lang w:val="it-IT"/>
            </w:rPr>
          </w:pPr>
          <w:r w:rsidRPr="005B06AD">
            <w:rPr>
              <w:b/>
              <w:lang w:val="it-IT"/>
            </w:rPr>
            <w:t xml:space="preserve">Figura S2. </w:t>
          </w:r>
          <w:r w:rsidR="00B64836" w:rsidRPr="005B06AD">
            <w:rPr>
              <w:lang w:val="it-IT"/>
            </w:rPr>
            <w:t>Tassi di consumo di energia idroelettrica e nucleare</w:t>
          </w:r>
          <w:r w:rsidRPr="005B06AD">
            <w:rPr>
              <w:lang w:val="it-IT"/>
            </w:rPr>
            <w:tab/>
            <w:t>3</w:t>
          </w:r>
        </w:p>
        <w:p w14:paraId="551B471C" w14:textId="2FEA15B1" w:rsidR="002E0F7F" w:rsidRPr="005B06AD" w:rsidRDefault="0079706B">
          <w:pPr>
            <w:pStyle w:val="Sommario2"/>
            <w:tabs>
              <w:tab w:val="right" w:leader="dot" w:pos="9938"/>
            </w:tabs>
            <w:rPr>
              <w:lang w:val="it-IT"/>
            </w:rPr>
          </w:pPr>
          <w:r w:rsidRPr="005B06AD">
            <w:rPr>
              <w:b/>
              <w:lang w:val="it-IT"/>
            </w:rPr>
            <w:t xml:space="preserve">Tabella S1. </w:t>
          </w:r>
          <w:r w:rsidR="00B64836" w:rsidRPr="005B06AD">
            <w:rPr>
              <w:lang w:val="it-IT"/>
            </w:rPr>
            <w:t>Sintesi regionali per 24 paesi e</w:t>
          </w:r>
          <w:r w:rsidR="003207FF" w:rsidRPr="005B06AD">
            <w:rPr>
              <w:lang w:val="it-IT"/>
            </w:rPr>
            <w:t xml:space="preserve"> per</w:t>
          </w:r>
          <w:r w:rsidR="00B64836" w:rsidRPr="005B06AD">
            <w:rPr>
              <w:lang w:val="it-IT"/>
            </w:rPr>
            <w:t xml:space="preserve"> l'Unione europea</w:t>
          </w:r>
          <w:r w:rsidRPr="005B06AD">
            <w:rPr>
              <w:lang w:val="it-IT"/>
            </w:rPr>
            <w:tab/>
            <w:t>4</w:t>
          </w:r>
        </w:p>
        <w:p w14:paraId="1283E7CC" w14:textId="77777777" w:rsidR="002E0F7F" w:rsidRPr="005B06AD" w:rsidRDefault="0079706B">
          <w:pPr>
            <w:pStyle w:val="Sommario3"/>
            <w:tabs>
              <w:tab w:val="right" w:leader="dot" w:pos="9938"/>
            </w:tabs>
            <w:rPr>
              <w:b w:val="0"/>
              <w:i w:val="0"/>
              <w:sz w:val="24"/>
              <w:lang w:val="it-IT"/>
            </w:rPr>
          </w:pPr>
          <w:r w:rsidRPr="005B06AD">
            <w:rPr>
              <w:i w:val="0"/>
              <w:sz w:val="24"/>
              <w:lang w:val="it-IT"/>
            </w:rPr>
            <w:t xml:space="preserve">Tabella S2. </w:t>
          </w:r>
          <w:r w:rsidR="00B64836" w:rsidRPr="005B06AD">
            <w:rPr>
              <w:b w:val="0"/>
              <w:i w:val="0"/>
              <w:sz w:val="24"/>
              <w:lang w:val="it-IT"/>
            </w:rPr>
            <w:t>Riepilogo degli indicatori di attività umane</w:t>
          </w:r>
          <w:r w:rsidRPr="005B06AD">
            <w:rPr>
              <w:b w:val="0"/>
              <w:i w:val="0"/>
              <w:sz w:val="24"/>
              <w:lang w:val="it-IT"/>
            </w:rPr>
            <w:tab/>
            <w:t>5</w:t>
          </w:r>
        </w:p>
        <w:p w14:paraId="696042CA" w14:textId="77777777" w:rsidR="002E0F7F" w:rsidRPr="005B06AD" w:rsidRDefault="0079706B">
          <w:pPr>
            <w:pStyle w:val="Sommario2"/>
            <w:tabs>
              <w:tab w:val="right" w:leader="dot" w:pos="9938"/>
            </w:tabs>
            <w:rPr>
              <w:lang w:val="it-IT"/>
            </w:rPr>
          </w:pPr>
          <w:r w:rsidRPr="005B06AD">
            <w:rPr>
              <w:b/>
              <w:lang w:val="it-IT"/>
            </w:rPr>
            <w:t xml:space="preserve">Tabella S3. </w:t>
          </w:r>
          <w:r w:rsidR="00B64836" w:rsidRPr="005B06AD">
            <w:rPr>
              <w:lang w:val="it-IT"/>
            </w:rPr>
            <w:t>Riepilogo degli indicatori di risposta climatica</w:t>
          </w:r>
          <w:r w:rsidRPr="005B06AD">
            <w:rPr>
              <w:lang w:val="it-IT"/>
            </w:rPr>
            <w:tab/>
            <w:t>6</w:t>
          </w:r>
        </w:p>
        <w:p w14:paraId="2CEF3CBD" w14:textId="77777777" w:rsidR="002E0F7F" w:rsidRPr="005B06AD" w:rsidRDefault="0033407E">
          <w:pPr>
            <w:pStyle w:val="Sommario1"/>
            <w:tabs>
              <w:tab w:val="right" w:leader="dot" w:pos="9938"/>
            </w:tabs>
            <w:rPr>
              <w:b w:val="0"/>
              <w:lang w:val="it-IT"/>
            </w:rPr>
          </w:pPr>
          <w:hyperlink w:anchor="_TOC_250002" w:history="1">
            <w:r w:rsidR="00B64836" w:rsidRPr="005B06AD">
              <w:rPr>
                <w:lang w:val="it-IT"/>
              </w:rPr>
              <w:t>Altri indicatori grafici</w:t>
            </w:r>
            <w:r w:rsidR="0079706B" w:rsidRPr="005B06AD">
              <w:rPr>
                <w:lang w:val="it-IT"/>
              </w:rPr>
              <w:tab/>
            </w:r>
            <w:r w:rsidR="0079706B" w:rsidRPr="005B06AD">
              <w:rPr>
                <w:b w:val="0"/>
                <w:lang w:val="it-IT"/>
              </w:rPr>
              <w:t>7</w:t>
            </w:r>
          </w:hyperlink>
        </w:p>
        <w:p w14:paraId="70F9F413" w14:textId="77777777" w:rsidR="002E0F7F" w:rsidRPr="005B06AD" w:rsidRDefault="0033407E">
          <w:pPr>
            <w:pStyle w:val="Sommario1"/>
            <w:tabs>
              <w:tab w:val="right" w:leader="dot" w:pos="9938"/>
            </w:tabs>
            <w:rPr>
              <w:b w:val="0"/>
              <w:lang w:val="it-IT"/>
            </w:rPr>
          </w:pPr>
          <w:hyperlink w:anchor="_TOC_250001" w:history="1">
            <w:r w:rsidR="0079706B" w:rsidRPr="005B06AD">
              <w:rPr>
                <w:lang w:val="it-IT"/>
              </w:rPr>
              <w:t>Met</w:t>
            </w:r>
            <w:r w:rsidR="00B64836" w:rsidRPr="005B06AD">
              <w:rPr>
                <w:lang w:val="it-IT"/>
              </w:rPr>
              <w:t>odi</w:t>
            </w:r>
            <w:r w:rsidR="0079706B" w:rsidRPr="005B06AD">
              <w:rPr>
                <w:lang w:val="it-IT"/>
              </w:rPr>
              <w:tab/>
            </w:r>
            <w:r w:rsidR="0079706B" w:rsidRPr="005B06AD">
              <w:rPr>
                <w:b w:val="0"/>
                <w:lang w:val="it-IT"/>
              </w:rPr>
              <w:t>7</w:t>
            </w:r>
          </w:hyperlink>
        </w:p>
        <w:p w14:paraId="40157FCD" w14:textId="77777777" w:rsidR="002E0F7F" w:rsidRPr="005B06AD" w:rsidRDefault="0079706B">
          <w:pPr>
            <w:pStyle w:val="Sommario1"/>
            <w:tabs>
              <w:tab w:val="right" w:leader="dot" w:pos="9938"/>
            </w:tabs>
            <w:rPr>
              <w:b w:val="0"/>
              <w:lang w:val="it-IT"/>
            </w:rPr>
          </w:pPr>
          <w:r w:rsidRPr="005B06AD">
            <w:rPr>
              <w:lang w:val="it-IT"/>
            </w:rPr>
            <w:t>Indicator</w:t>
          </w:r>
          <w:r w:rsidR="00B64836" w:rsidRPr="005B06AD">
            <w:rPr>
              <w:lang w:val="it-IT"/>
            </w:rPr>
            <w:t>i di</w:t>
          </w:r>
          <w:r w:rsidRPr="005B06AD">
            <w:rPr>
              <w:spacing w:val="-2"/>
              <w:lang w:val="it-IT"/>
            </w:rPr>
            <w:t xml:space="preserve"> </w:t>
          </w:r>
          <w:r w:rsidRPr="005B06AD">
            <w:rPr>
              <w:lang w:val="it-IT"/>
            </w:rPr>
            <w:t>a</w:t>
          </w:r>
          <w:r w:rsidR="00B64836" w:rsidRPr="005B06AD">
            <w:rPr>
              <w:lang w:val="it-IT"/>
            </w:rPr>
            <w:t>t</w:t>
          </w:r>
          <w:r w:rsidRPr="005B06AD">
            <w:rPr>
              <w:lang w:val="it-IT"/>
            </w:rPr>
            <w:t>tivit</w:t>
          </w:r>
          <w:r w:rsidR="00B64836" w:rsidRPr="005B06AD">
            <w:rPr>
              <w:lang w:val="it-IT"/>
            </w:rPr>
            <w:t>à umane</w:t>
          </w:r>
          <w:r w:rsidRPr="005B06AD">
            <w:rPr>
              <w:lang w:val="it-IT"/>
            </w:rPr>
            <w:tab/>
          </w:r>
          <w:r w:rsidRPr="005B06AD">
            <w:rPr>
              <w:b w:val="0"/>
              <w:lang w:val="it-IT"/>
            </w:rPr>
            <w:t>8</w:t>
          </w:r>
        </w:p>
        <w:p w14:paraId="13D4C1E7" w14:textId="77777777" w:rsidR="002E0F7F" w:rsidRPr="005B06AD" w:rsidRDefault="00B64836">
          <w:pPr>
            <w:pStyle w:val="Sommario1"/>
            <w:tabs>
              <w:tab w:val="right" w:leader="dot" w:pos="9938"/>
            </w:tabs>
            <w:rPr>
              <w:b w:val="0"/>
              <w:lang w:val="it-IT"/>
            </w:rPr>
          </w:pPr>
          <w:r w:rsidRPr="005B06AD">
            <w:rPr>
              <w:lang w:val="it-IT"/>
            </w:rPr>
            <w:t>Indicatori degli impatti climatici effettivi</w:t>
          </w:r>
          <w:r w:rsidR="0079706B" w:rsidRPr="005B06AD">
            <w:rPr>
              <w:lang w:val="it-IT"/>
            </w:rPr>
            <w:tab/>
          </w:r>
          <w:r w:rsidR="0079706B" w:rsidRPr="005B06AD">
            <w:rPr>
              <w:b w:val="0"/>
              <w:lang w:val="it-IT"/>
            </w:rPr>
            <w:t>11</w:t>
          </w:r>
        </w:p>
        <w:p w14:paraId="641F7A01" w14:textId="77777777" w:rsidR="002E0F7F" w:rsidRPr="005B06AD" w:rsidRDefault="0033407E">
          <w:pPr>
            <w:pStyle w:val="Sommario1"/>
            <w:tabs>
              <w:tab w:val="right" w:leader="dot" w:pos="9938"/>
            </w:tabs>
            <w:rPr>
              <w:b w:val="0"/>
            </w:rPr>
          </w:pPr>
          <w:hyperlink w:anchor="_TOC_250000" w:history="1">
            <w:proofErr w:type="spellStart"/>
            <w:r w:rsidR="00B64836" w:rsidRPr="005B06AD">
              <w:t>Riferimenti</w:t>
            </w:r>
            <w:proofErr w:type="spellEnd"/>
            <w:r w:rsidR="00B64836" w:rsidRPr="005B06AD">
              <w:t xml:space="preserve"> </w:t>
            </w:r>
            <w:proofErr w:type="spellStart"/>
            <w:r w:rsidR="00B64836" w:rsidRPr="005B06AD">
              <w:t>supplementari</w:t>
            </w:r>
            <w:proofErr w:type="spellEnd"/>
            <w:r w:rsidR="0079706B" w:rsidRPr="005B06AD">
              <w:tab/>
            </w:r>
            <w:r w:rsidR="0079706B" w:rsidRPr="005B06AD">
              <w:rPr>
                <w:b w:val="0"/>
              </w:rPr>
              <w:t>13</w:t>
            </w:r>
          </w:hyperlink>
        </w:p>
      </w:sdtContent>
    </w:sdt>
    <w:p w14:paraId="26987652" w14:textId="77777777" w:rsidR="002E0F7F" w:rsidRPr="005B06AD" w:rsidRDefault="002E0F7F">
      <w:pPr>
        <w:sectPr w:rsidR="002E0F7F" w:rsidRPr="005B06AD">
          <w:type w:val="continuous"/>
          <w:pgSz w:w="12240" w:h="15840"/>
          <w:pgMar w:top="1180" w:right="1040" w:bottom="280" w:left="880" w:header="720" w:footer="720" w:gutter="0"/>
          <w:cols w:space="720"/>
        </w:sectPr>
      </w:pPr>
    </w:p>
    <w:p w14:paraId="41FFE83A" w14:textId="77777777" w:rsidR="002E0F7F" w:rsidRPr="005B06AD" w:rsidRDefault="002E0F7F">
      <w:pPr>
        <w:pStyle w:val="Corpotesto"/>
        <w:spacing w:before="3"/>
        <w:ind w:left="0"/>
        <w:rPr>
          <w:sz w:val="9"/>
        </w:rPr>
      </w:pPr>
    </w:p>
    <w:p w14:paraId="117CDB01" w14:textId="77777777" w:rsidR="002E0F7F" w:rsidRPr="005B06AD" w:rsidRDefault="0079706B">
      <w:pPr>
        <w:pStyle w:val="Corpotesto"/>
        <w:ind w:left="284"/>
        <w:rPr>
          <w:sz w:val="20"/>
        </w:rPr>
      </w:pPr>
      <w:r w:rsidRPr="005B06AD">
        <w:rPr>
          <w:noProof/>
          <w:sz w:val="20"/>
          <w:lang w:val="it-IT" w:eastAsia="ko-KR" w:bidi="ar-SA"/>
        </w:rPr>
        <w:drawing>
          <wp:inline distT="0" distB="0" distL="0" distR="0" wp14:anchorId="2C78B637" wp14:editId="2DF32DCE">
            <wp:extent cx="5589270" cy="554640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5589270" cy="5546407"/>
                    </a:xfrm>
                    <a:prstGeom prst="rect">
                      <a:avLst/>
                    </a:prstGeom>
                  </pic:spPr>
                </pic:pic>
              </a:graphicData>
            </a:graphic>
          </wp:inline>
        </w:drawing>
      </w:r>
    </w:p>
    <w:p w14:paraId="7DEA7859" w14:textId="31E41E23" w:rsidR="002E0F7F" w:rsidRPr="005B06AD" w:rsidRDefault="0079706B" w:rsidP="00F767EA">
      <w:pPr>
        <w:pStyle w:val="Corpotesto"/>
        <w:spacing w:before="200" w:line="259" w:lineRule="auto"/>
        <w:ind w:right="246"/>
        <w:jc w:val="both"/>
        <w:rPr>
          <w:lang w:val="it-IT"/>
        </w:rPr>
      </w:pPr>
      <w:r w:rsidRPr="005B06AD">
        <w:rPr>
          <w:b/>
          <w:w w:val="99"/>
          <w:lang w:val="it-IT"/>
        </w:rPr>
        <w:t xml:space="preserve">Figura S1. </w:t>
      </w:r>
      <w:r w:rsidRPr="005B06AD">
        <w:rPr>
          <w:w w:val="44"/>
          <w:lang w:val="it-IT"/>
        </w:rPr>
        <w:t>―</w:t>
      </w:r>
      <w:r w:rsidR="00B64836" w:rsidRPr="005B06AD">
        <w:rPr>
          <w:w w:val="44"/>
          <w:lang w:val="it-IT"/>
        </w:rPr>
        <w:t xml:space="preserve"> </w:t>
      </w:r>
      <w:r w:rsidR="003F0F67" w:rsidRPr="005B06AD">
        <w:rPr>
          <w:lang w:val="it-IT"/>
        </w:rPr>
        <w:t>Concentrazione</w:t>
      </w:r>
      <w:r w:rsidR="00B64836" w:rsidRPr="005B06AD">
        <w:rPr>
          <w:lang w:val="it-IT"/>
        </w:rPr>
        <w:t xml:space="preserve"> medi</w:t>
      </w:r>
      <w:r w:rsidR="003F0F67" w:rsidRPr="005B06AD">
        <w:rPr>
          <w:lang w:val="it-IT"/>
        </w:rPr>
        <w:t>a</w:t>
      </w:r>
      <w:r w:rsidR="00B64836" w:rsidRPr="005B06AD">
        <w:rPr>
          <w:lang w:val="it-IT"/>
        </w:rPr>
        <w:t xml:space="preserve"> mensile </w:t>
      </w:r>
      <w:r w:rsidR="003F0F67" w:rsidRPr="005B06AD">
        <w:rPr>
          <w:lang w:val="it-IT"/>
        </w:rPr>
        <w:t>di CO</w:t>
      </w:r>
      <w:r w:rsidR="003F0F67" w:rsidRPr="005B06AD">
        <w:rPr>
          <w:vertAlign w:val="subscript"/>
          <w:lang w:val="it-IT"/>
        </w:rPr>
        <w:t>2</w:t>
      </w:r>
      <w:r w:rsidR="003F0F67" w:rsidRPr="005B06AD">
        <w:rPr>
          <w:lang w:val="it-IT"/>
        </w:rPr>
        <w:t xml:space="preserve"> </w:t>
      </w:r>
      <w:r w:rsidR="00B64836" w:rsidRPr="005B06AD">
        <w:rPr>
          <w:lang w:val="it-IT"/>
        </w:rPr>
        <w:t>misurat</w:t>
      </w:r>
      <w:r w:rsidR="003F0F67" w:rsidRPr="005B06AD">
        <w:rPr>
          <w:lang w:val="it-IT"/>
        </w:rPr>
        <w:t>a</w:t>
      </w:r>
      <w:r w:rsidR="00B64836" w:rsidRPr="005B06AD">
        <w:rPr>
          <w:lang w:val="it-IT"/>
        </w:rPr>
        <w:t xml:space="preserve"> all'Osservatorio di Mauna </w:t>
      </w:r>
      <w:proofErr w:type="spellStart"/>
      <w:r w:rsidR="00B64836" w:rsidRPr="005B06AD">
        <w:rPr>
          <w:lang w:val="it-IT"/>
        </w:rPr>
        <w:t>Loa</w:t>
      </w:r>
      <w:proofErr w:type="spellEnd"/>
      <w:r w:rsidR="00B64836" w:rsidRPr="005B06AD">
        <w:rPr>
          <w:lang w:val="it-IT"/>
        </w:rPr>
        <w:t xml:space="preserve">, Hawaii. I dati, misurati come frazione molare di aria secca a Mauna </w:t>
      </w:r>
      <w:proofErr w:type="spellStart"/>
      <w:r w:rsidR="00B64836" w:rsidRPr="005B06AD">
        <w:rPr>
          <w:lang w:val="it-IT"/>
        </w:rPr>
        <w:t>Loa</w:t>
      </w:r>
      <w:proofErr w:type="spellEnd"/>
      <w:r w:rsidR="00B64836" w:rsidRPr="005B06AD">
        <w:rPr>
          <w:lang w:val="it-IT"/>
        </w:rPr>
        <w:t xml:space="preserve">, costituiscono </w:t>
      </w:r>
      <w:r w:rsidR="003F0F67" w:rsidRPr="005B06AD">
        <w:rPr>
          <w:lang w:val="it-IT"/>
        </w:rPr>
        <w:t xml:space="preserve">la serie </w:t>
      </w:r>
      <w:r w:rsidR="00B64836" w:rsidRPr="005B06AD">
        <w:rPr>
          <w:lang w:val="it-IT"/>
        </w:rPr>
        <w:t>più lung</w:t>
      </w:r>
      <w:r w:rsidR="003F0F67" w:rsidRPr="005B06AD">
        <w:rPr>
          <w:lang w:val="it-IT"/>
        </w:rPr>
        <w:t>a</w:t>
      </w:r>
      <w:r w:rsidR="00B64836" w:rsidRPr="005B06AD">
        <w:rPr>
          <w:lang w:val="it-IT"/>
        </w:rPr>
        <w:t xml:space="preserve"> di misurazioni dirette di </w:t>
      </w:r>
      <w:r w:rsidR="002F6F83" w:rsidRPr="005B06AD">
        <w:rPr>
          <w:w w:val="76"/>
          <w:lang w:val="it-IT"/>
        </w:rPr>
        <w:t>CO</w:t>
      </w:r>
      <w:r w:rsidR="002F6F83" w:rsidRPr="005B06AD">
        <w:rPr>
          <w:w w:val="97"/>
          <w:vertAlign w:val="subscript"/>
          <w:lang w:val="it-IT"/>
        </w:rPr>
        <w:t>2</w:t>
      </w:r>
      <w:r w:rsidR="00B64836" w:rsidRPr="005B06AD">
        <w:rPr>
          <w:lang w:val="it-IT"/>
        </w:rPr>
        <w:t xml:space="preserve"> in atmosfera. […] La </w:t>
      </w:r>
      <w:r w:rsidR="00B64836" w:rsidRPr="005B06AD">
        <w:rPr>
          <w:b/>
          <w:lang w:val="it-IT"/>
        </w:rPr>
        <w:t>linea nera</w:t>
      </w:r>
      <w:r w:rsidR="00B64836" w:rsidRPr="005B06AD">
        <w:rPr>
          <w:lang w:val="it-IT"/>
        </w:rPr>
        <w:t xml:space="preserve"> rappresenta i valori medi mensili, centrati sulla metà di ogni mese. La </w:t>
      </w:r>
      <w:r w:rsidR="00B64836" w:rsidRPr="005B06AD">
        <w:rPr>
          <w:b/>
          <w:lang w:val="it-IT"/>
        </w:rPr>
        <w:t>linea rossa</w:t>
      </w:r>
      <w:r w:rsidR="00B64836" w:rsidRPr="005B06AD">
        <w:rPr>
          <w:lang w:val="it-IT"/>
        </w:rPr>
        <w:t xml:space="preserve"> rappresenta lo stesso valore, dopo </w:t>
      </w:r>
      <w:r w:rsidR="003F0F67" w:rsidRPr="005B06AD">
        <w:rPr>
          <w:lang w:val="it-IT"/>
        </w:rPr>
        <w:t>l’eliminazione del</w:t>
      </w:r>
      <w:r w:rsidR="00DB1E83" w:rsidRPr="005B06AD">
        <w:rPr>
          <w:lang w:val="it-IT"/>
        </w:rPr>
        <w:t>lo</w:t>
      </w:r>
      <w:r w:rsidR="003F0F67" w:rsidRPr="005B06AD">
        <w:rPr>
          <w:lang w:val="it-IT"/>
        </w:rPr>
        <w:t xml:space="preserve"> </w:t>
      </w:r>
      <w:r w:rsidR="00B64836" w:rsidRPr="005B06AD">
        <w:rPr>
          <w:lang w:val="it-IT"/>
        </w:rPr>
        <w:t xml:space="preserve">stagionale medio. Quest'ultimo è determinato come la media mobile di </w:t>
      </w:r>
      <w:r w:rsidR="003F0F67" w:rsidRPr="005B06AD">
        <w:rPr>
          <w:lang w:val="it-IT"/>
        </w:rPr>
        <w:t>sette</w:t>
      </w:r>
      <w:r w:rsidR="00B64836" w:rsidRPr="005B06AD">
        <w:rPr>
          <w:lang w:val="it-IT"/>
        </w:rPr>
        <w:t xml:space="preserve"> cicli stagionali adiacenti centrati sul mese da correggere, ad eccezione dei primi e degli ultimi </w:t>
      </w:r>
      <w:r w:rsidR="003F0F67" w:rsidRPr="005B06AD">
        <w:rPr>
          <w:lang w:val="it-IT"/>
        </w:rPr>
        <w:t>tre</w:t>
      </w:r>
      <w:r w:rsidR="00B64836" w:rsidRPr="005B06AD">
        <w:rPr>
          <w:lang w:val="it-IT"/>
        </w:rPr>
        <w:t xml:space="preserve"> anni e mezzo del record, in cui il ciclo stagionale è stato mediato sui primi e sugli ultim</w:t>
      </w:r>
      <w:r w:rsidR="00DB1E83" w:rsidRPr="005B06AD">
        <w:rPr>
          <w:lang w:val="it-IT"/>
        </w:rPr>
        <w:t>i</w:t>
      </w:r>
      <w:r w:rsidR="00B64836" w:rsidRPr="005B06AD">
        <w:rPr>
          <w:lang w:val="it-IT"/>
        </w:rPr>
        <w:t xml:space="preserve"> </w:t>
      </w:r>
      <w:r w:rsidR="003F0F67" w:rsidRPr="005B06AD">
        <w:rPr>
          <w:lang w:val="it-IT"/>
        </w:rPr>
        <w:t>sette</w:t>
      </w:r>
      <w:r w:rsidR="00B64836" w:rsidRPr="005B06AD">
        <w:rPr>
          <w:lang w:val="it-IT"/>
        </w:rPr>
        <w:t xml:space="preserve"> anni, rispettivamente.</w:t>
      </w:r>
      <w:r w:rsidR="003F0F67" w:rsidRPr="005B06AD">
        <w:rPr>
          <w:lang w:val="it-IT"/>
        </w:rPr>
        <w:t xml:space="preserve"> </w:t>
      </w:r>
      <w:r w:rsidR="00B64836" w:rsidRPr="005B06AD">
        <w:rPr>
          <w:lang w:val="it-IT"/>
        </w:rPr>
        <w:t>Fonte</w:t>
      </w:r>
      <w:r w:rsidR="003F0F67" w:rsidRPr="005B06AD">
        <w:rPr>
          <w:lang w:val="it-IT"/>
        </w:rPr>
        <w:t xml:space="preserve">: </w:t>
      </w:r>
      <w:r w:rsidR="00B64836" w:rsidRPr="005B06AD">
        <w:rPr>
          <w:lang w:val="it-IT"/>
        </w:rPr>
        <w:t xml:space="preserve"> </w:t>
      </w:r>
      <w:hyperlink r:id="rId7">
        <w:r w:rsidRPr="005B06AD">
          <w:rPr>
            <w:u w:val="single" w:color="0000FF"/>
            <w:lang w:val="it-IT"/>
          </w:rPr>
          <w:t>https://www.esrl.noaa.gov/gmd/ccgg/trends/</w:t>
        </w:r>
      </w:hyperlink>
    </w:p>
    <w:p w14:paraId="2717D702" w14:textId="77777777" w:rsidR="002E0F7F" w:rsidRPr="005B06AD" w:rsidRDefault="002E0F7F" w:rsidP="00F767EA">
      <w:pPr>
        <w:spacing w:line="259" w:lineRule="auto"/>
        <w:jc w:val="both"/>
        <w:rPr>
          <w:lang w:val="it-IT"/>
        </w:rPr>
        <w:sectPr w:rsidR="002E0F7F" w:rsidRPr="005B06AD">
          <w:footerReference w:type="default" r:id="rId8"/>
          <w:pgSz w:w="12240" w:h="15840"/>
          <w:pgMar w:top="1500" w:right="1040" w:bottom="940" w:left="880" w:header="0" w:footer="744" w:gutter="0"/>
          <w:pgNumType w:start="2"/>
          <w:cols w:space="720"/>
        </w:sectPr>
      </w:pPr>
    </w:p>
    <w:p w14:paraId="58A03820" w14:textId="77777777" w:rsidR="002E0F7F" w:rsidRPr="005B06AD" w:rsidRDefault="0079706B">
      <w:pPr>
        <w:pStyle w:val="Corpotesto"/>
        <w:ind w:left="228"/>
        <w:rPr>
          <w:sz w:val="20"/>
        </w:rPr>
      </w:pPr>
      <w:r w:rsidRPr="005B06AD">
        <w:rPr>
          <w:noProof/>
          <w:sz w:val="20"/>
          <w:lang w:val="it-IT" w:eastAsia="ko-KR" w:bidi="ar-SA"/>
        </w:rPr>
        <w:lastRenderedPageBreak/>
        <w:drawing>
          <wp:inline distT="0" distB="0" distL="0" distR="0" wp14:anchorId="6530F8CC" wp14:editId="22C59675">
            <wp:extent cx="5297423" cy="533400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5297423" cy="5334000"/>
                    </a:xfrm>
                    <a:prstGeom prst="rect">
                      <a:avLst/>
                    </a:prstGeom>
                  </pic:spPr>
                </pic:pic>
              </a:graphicData>
            </a:graphic>
          </wp:inline>
        </w:drawing>
      </w:r>
    </w:p>
    <w:p w14:paraId="1595F9A5" w14:textId="5FD3255F" w:rsidR="002E0F7F" w:rsidRPr="005B06AD" w:rsidRDefault="0079706B" w:rsidP="00F767EA">
      <w:pPr>
        <w:pStyle w:val="Corpotesto"/>
        <w:spacing w:before="149"/>
        <w:ind w:right="222"/>
        <w:jc w:val="both"/>
        <w:rPr>
          <w:lang w:val="it-IT"/>
        </w:rPr>
      </w:pPr>
      <w:r w:rsidRPr="005B06AD">
        <w:rPr>
          <w:b/>
          <w:lang w:val="it-IT"/>
        </w:rPr>
        <w:t xml:space="preserve">Figura S2. </w:t>
      </w:r>
      <w:r w:rsidR="00D545AD" w:rsidRPr="005B06AD">
        <w:rPr>
          <w:lang w:val="it-IT"/>
        </w:rPr>
        <w:t>Tassi</w:t>
      </w:r>
      <w:r w:rsidR="0099782A" w:rsidRPr="005B06AD">
        <w:rPr>
          <w:lang w:val="it-IT"/>
        </w:rPr>
        <w:t xml:space="preserve"> di consumo annual</w:t>
      </w:r>
      <w:r w:rsidR="00D545AD" w:rsidRPr="005B06AD">
        <w:rPr>
          <w:lang w:val="it-IT"/>
        </w:rPr>
        <w:t xml:space="preserve">e </w:t>
      </w:r>
      <w:r w:rsidR="0099782A" w:rsidRPr="005B06AD">
        <w:rPr>
          <w:lang w:val="it-IT"/>
        </w:rPr>
        <w:t>di energia nucleare e idroelettric</w:t>
      </w:r>
      <w:r w:rsidR="001F7481" w:rsidRPr="005B06AD">
        <w:rPr>
          <w:lang w:val="it-IT"/>
        </w:rPr>
        <w:t>a</w:t>
      </w:r>
      <w:r w:rsidR="0099782A" w:rsidRPr="005B06AD">
        <w:rPr>
          <w:lang w:val="it-IT"/>
        </w:rPr>
        <w:t xml:space="preserve"> (British Petroleum</w:t>
      </w:r>
      <w:r w:rsidR="001F7481" w:rsidRPr="005B06AD">
        <w:rPr>
          <w:lang w:val="it-IT"/>
        </w:rPr>
        <w:t xml:space="preserve"> Company </w:t>
      </w:r>
      <w:r w:rsidR="0099782A" w:rsidRPr="005B06AD">
        <w:rPr>
          <w:lang w:val="it-IT"/>
        </w:rPr>
        <w:t>2019)</w:t>
      </w:r>
      <w:r w:rsidR="00E403BC" w:rsidRPr="005B06AD">
        <w:rPr>
          <w:lang w:val="it-IT"/>
        </w:rPr>
        <w:t>. La legenda mostra la</w:t>
      </w:r>
      <w:r w:rsidR="0099782A" w:rsidRPr="005B06AD">
        <w:rPr>
          <w:lang w:val="it-IT"/>
        </w:rPr>
        <w:t xml:space="preserve"> variazione </w:t>
      </w:r>
      <w:r w:rsidR="00E403BC" w:rsidRPr="005B06AD">
        <w:rPr>
          <w:lang w:val="it-IT"/>
        </w:rPr>
        <w:t xml:space="preserve">media </w:t>
      </w:r>
      <w:r w:rsidR="0099782A" w:rsidRPr="005B06AD">
        <w:rPr>
          <w:lang w:val="it-IT"/>
        </w:rPr>
        <w:t>dec</w:t>
      </w:r>
      <w:r w:rsidR="001F7481" w:rsidRPr="005B06AD">
        <w:rPr>
          <w:lang w:val="it-IT"/>
        </w:rPr>
        <w:t xml:space="preserve">ennale </w:t>
      </w:r>
      <w:r w:rsidR="0099782A" w:rsidRPr="005B06AD">
        <w:rPr>
          <w:lang w:val="it-IT"/>
        </w:rPr>
        <w:t>per l'intero intervallo tempo</w:t>
      </w:r>
      <w:r w:rsidR="001F7481" w:rsidRPr="005B06AD">
        <w:rPr>
          <w:lang w:val="it-IT"/>
        </w:rPr>
        <w:t xml:space="preserve">rale della </w:t>
      </w:r>
      <w:r w:rsidR="0099782A" w:rsidRPr="005B06AD">
        <w:rPr>
          <w:lang w:val="it-IT"/>
        </w:rPr>
        <w:t xml:space="preserve">serie (in termini percentuali). </w:t>
      </w:r>
      <w:r w:rsidR="00D545AD" w:rsidRPr="005B06AD">
        <w:rPr>
          <w:lang w:val="it-IT"/>
        </w:rPr>
        <w:t>Cfr.</w:t>
      </w:r>
      <w:r w:rsidR="0099782A" w:rsidRPr="005B06AD">
        <w:rPr>
          <w:lang w:val="it-IT"/>
        </w:rPr>
        <w:t xml:space="preserve"> British Petroleum Company (2019) per </w:t>
      </w:r>
      <w:r w:rsidR="001F7481" w:rsidRPr="005B06AD">
        <w:rPr>
          <w:lang w:val="it-IT"/>
        </w:rPr>
        <w:t xml:space="preserve">le </w:t>
      </w:r>
      <w:r w:rsidR="0099782A" w:rsidRPr="005B06AD">
        <w:rPr>
          <w:lang w:val="it-IT"/>
        </w:rPr>
        <w:t>fonti di energia minori no</w:t>
      </w:r>
      <w:r w:rsidR="001F7481" w:rsidRPr="005B06AD">
        <w:rPr>
          <w:lang w:val="it-IT"/>
        </w:rPr>
        <w:t xml:space="preserve">n </w:t>
      </w:r>
      <w:r w:rsidR="0099782A" w:rsidRPr="005B06AD">
        <w:rPr>
          <w:lang w:val="it-IT"/>
        </w:rPr>
        <w:t>mostrat</w:t>
      </w:r>
      <w:r w:rsidR="001F7481" w:rsidRPr="005B06AD">
        <w:rPr>
          <w:lang w:val="it-IT"/>
        </w:rPr>
        <w:t>e</w:t>
      </w:r>
      <w:r w:rsidR="0099782A" w:rsidRPr="005B06AD">
        <w:rPr>
          <w:lang w:val="it-IT"/>
        </w:rPr>
        <w:t xml:space="preserve"> in questa figura. La figura 1h nel testo principale mostra il consumo di combustibili fossili </w:t>
      </w:r>
      <w:r w:rsidR="001F7481" w:rsidRPr="005B06AD">
        <w:rPr>
          <w:lang w:val="it-IT"/>
        </w:rPr>
        <w:t>e di energia solare/</w:t>
      </w:r>
      <w:r w:rsidR="0099782A" w:rsidRPr="005B06AD">
        <w:rPr>
          <w:lang w:val="it-IT"/>
        </w:rPr>
        <w:t>eolic</w:t>
      </w:r>
      <w:r w:rsidR="001F7481" w:rsidRPr="005B06AD">
        <w:rPr>
          <w:lang w:val="it-IT"/>
        </w:rPr>
        <w:t>a.</w:t>
      </w:r>
    </w:p>
    <w:p w14:paraId="3596F680" w14:textId="77777777" w:rsidR="002E0F7F" w:rsidRPr="005B06AD" w:rsidRDefault="002E0F7F" w:rsidP="00F767EA">
      <w:pPr>
        <w:jc w:val="both"/>
        <w:rPr>
          <w:lang w:val="it-IT"/>
        </w:rPr>
        <w:sectPr w:rsidR="002E0F7F" w:rsidRPr="005B06AD">
          <w:pgSz w:w="12240" w:h="15840"/>
          <w:pgMar w:top="1240" w:right="1040" w:bottom="940" w:left="880" w:header="0" w:footer="744" w:gutter="0"/>
          <w:cols w:space="720"/>
        </w:sectPr>
      </w:pPr>
    </w:p>
    <w:p w14:paraId="7B7B51E1" w14:textId="77777777" w:rsidR="002E0F7F" w:rsidRPr="005B06AD" w:rsidRDefault="0079706B" w:rsidP="00F767EA">
      <w:pPr>
        <w:pStyle w:val="Titolo2"/>
        <w:jc w:val="both"/>
        <w:rPr>
          <w:lang w:val="it-IT"/>
        </w:rPr>
      </w:pPr>
      <w:r w:rsidRPr="005B06AD">
        <w:rPr>
          <w:lang w:val="it-IT"/>
        </w:rPr>
        <w:lastRenderedPageBreak/>
        <w:t>Tabelle</w:t>
      </w:r>
      <w:r w:rsidR="001F7481" w:rsidRPr="005B06AD">
        <w:rPr>
          <w:lang w:val="it-IT"/>
        </w:rPr>
        <w:t xml:space="preserve"> Supplementari</w:t>
      </w:r>
    </w:p>
    <w:p w14:paraId="45012C95" w14:textId="77777777" w:rsidR="002E0F7F" w:rsidRPr="005B06AD" w:rsidRDefault="002E0F7F" w:rsidP="00F767EA">
      <w:pPr>
        <w:pStyle w:val="Corpotesto"/>
        <w:spacing w:before="6"/>
        <w:ind w:left="0"/>
        <w:jc w:val="both"/>
        <w:rPr>
          <w:b/>
          <w:sz w:val="27"/>
          <w:lang w:val="it-IT"/>
        </w:rPr>
      </w:pPr>
    </w:p>
    <w:p w14:paraId="5918361B" w14:textId="72020684" w:rsidR="002F6F83" w:rsidRPr="005B06AD" w:rsidRDefault="0079706B" w:rsidP="00F767EA">
      <w:pPr>
        <w:pStyle w:val="Corpotesto"/>
        <w:spacing w:line="259" w:lineRule="auto"/>
        <w:jc w:val="both"/>
        <w:rPr>
          <w:lang w:val="it-IT"/>
        </w:rPr>
      </w:pPr>
      <w:r w:rsidRPr="005B06AD">
        <w:rPr>
          <w:b/>
          <w:w w:val="99"/>
          <w:lang w:val="it-IT"/>
        </w:rPr>
        <w:t xml:space="preserve">Tabella S1. </w:t>
      </w:r>
      <w:r w:rsidR="002F6F83" w:rsidRPr="005B06AD">
        <w:rPr>
          <w:lang w:val="it-IT"/>
        </w:rPr>
        <w:t>Sintesi regionali per 24 paesi e l'Unione europea. Le variabili mostrate sono ―</w:t>
      </w:r>
      <w:r w:rsidR="002F6F83" w:rsidRPr="005B06AD">
        <w:rPr>
          <w:w w:val="76"/>
          <w:lang w:val="it-IT"/>
        </w:rPr>
        <w:t xml:space="preserve"> CO</w:t>
      </w:r>
      <w:r w:rsidR="002F6F83" w:rsidRPr="005B06AD">
        <w:rPr>
          <w:w w:val="97"/>
          <w:vertAlign w:val="subscript"/>
          <w:lang w:val="it-IT"/>
        </w:rPr>
        <w:t>2</w:t>
      </w:r>
      <w:r w:rsidR="002F6F83" w:rsidRPr="005B06AD">
        <w:rPr>
          <w:lang w:val="it-IT"/>
        </w:rPr>
        <w:t xml:space="preserve"> ‖ (emissioni totali di </w:t>
      </w:r>
      <w:r w:rsidR="002F6F83" w:rsidRPr="005B06AD">
        <w:rPr>
          <w:w w:val="76"/>
          <w:lang w:val="it-IT"/>
        </w:rPr>
        <w:t>CO</w:t>
      </w:r>
      <w:r w:rsidR="002F6F83" w:rsidRPr="005B06AD">
        <w:rPr>
          <w:w w:val="97"/>
          <w:vertAlign w:val="subscript"/>
          <w:lang w:val="it-IT"/>
        </w:rPr>
        <w:t>2</w:t>
      </w:r>
      <w:r w:rsidR="002F6F83" w:rsidRPr="005B06AD">
        <w:rPr>
          <w:lang w:val="it-IT"/>
        </w:rPr>
        <w:t xml:space="preserve"> associate al consumo di combustibili fossili in </w:t>
      </w:r>
      <w:r w:rsidR="00E97531" w:rsidRPr="005B06AD">
        <w:rPr>
          <w:lang w:val="it-IT"/>
        </w:rPr>
        <w:t>milioni di</w:t>
      </w:r>
      <w:r w:rsidR="002F6F83" w:rsidRPr="005B06AD">
        <w:rPr>
          <w:lang w:val="it-IT"/>
        </w:rPr>
        <w:t xml:space="preserve"> tonnellate), ―Popolazione ‖ (popolazione umana in milioni), ― </w:t>
      </w:r>
      <w:r w:rsidR="002F6F83" w:rsidRPr="005B06AD">
        <w:rPr>
          <w:w w:val="76"/>
          <w:lang w:val="it-IT"/>
        </w:rPr>
        <w:t>CO</w:t>
      </w:r>
      <w:r w:rsidR="002F6F83" w:rsidRPr="005B06AD">
        <w:rPr>
          <w:w w:val="97"/>
          <w:vertAlign w:val="subscript"/>
          <w:lang w:val="it-IT"/>
        </w:rPr>
        <w:t>2</w:t>
      </w:r>
      <w:r w:rsidR="00E97531" w:rsidRPr="005B06AD">
        <w:rPr>
          <w:lang w:val="it-IT"/>
        </w:rPr>
        <w:t xml:space="preserve"> pro </w:t>
      </w:r>
      <w:r w:rsidR="002F6F83" w:rsidRPr="005B06AD">
        <w:rPr>
          <w:lang w:val="it-IT"/>
        </w:rPr>
        <w:t xml:space="preserve">capite ‖ (emissioni di </w:t>
      </w:r>
      <w:r w:rsidR="002F6F83" w:rsidRPr="005B06AD">
        <w:rPr>
          <w:w w:val="76"/>
          <w:lang w:val="it-IT"/>
        </w:rPr>
        <w:t>CO</w:t>
      </w:r>
      <w:r w:rsidR="002F6F83" w:rsidRPr="005B06AD">
        <w:rPr>
          <w:w w:val="97"/>
          <w:vertAlign w:val="subscript"/>
          <w:lang w:val="it-IT"/>
        </w:rPr>
        <w:t>2</w:t>
      </w:r>
      <w:r w:rsidR="002F6F83" w:rsidRPr="005B06AD">
        <w:rPr>
          <w:lang w:val="it-IT"/>
        </w:rPr>
        <w:t xml:space="preserve"> pro capite in tonnellate per persona), ― </w:t>
      </w:r>
      <w:r w:rsidR="00BB7D60" w:rsidRPr="005B06AD">
        <w:rPr>
          <w:lang w:val="it-IT"/>
        </w:rPr>
        <w:t>Percent</w:t>
      </w:r>
      <w:r w:rsidR="00DB1E83" w:rsidRPr="005B06AD">
        <w:rPr>
          <w:lang w:val="it-IT"/>
        </w:rPr>
        <w:t>uale</w:t>
      </w:r>
      <w:r w:rsidR="00BB7D60" w:rsidRPr="005B06AD">
        <w:rPr>
          <w:lang w:val="it-IT"/>
        </w:rPr>
        <w:t xml:space="preserve"> </w:t>
      </w:r>
      <w:r w:rsidR="002F6F83" w:rsidRPr="005B06AD">
        <w:rPr>
          <w:lang w:val="it-IT"/>
        </w:rPr>
        <w:t xml:space="preserve">‖ (percentuale di tutte le emissioni di </w:t>
      </w:r>
      <w:r w:rsidR="002F6F83" w:rsidRPr="005B06AD">
        <w:rPr>
          <w:w w:val="76"/>
          <w:lang w:val="it-IT"/>
        </w:rPr>
        <w:t>CO</w:t>
      </w:r>
      <w:r w:rsidR="002F6F83" w:rsidRPr="005B06AD">
        <w:rPr>
          <w:w w:val="97"/>
          <w:vertAlign w:val="subscript"/>
          <w:lang w:val="it-IT"/>
        </w:rPr>
        <w:t>2</w:t>
      </w:r>
      <w:r w:rsidR="002F6F83" w:rsidRPr="005B06AD">
        <w:rPr>
          <w:lang w:val="it-IT"/>
        </w:rPr>
        <w:t xml:space="preserve"> associate al consumo di combustibili fossili rispetto al totale globale), e ―</w:t>
      </w:r>
      <w:r w:rsidR="00BB7D60" w:rsidRPr="005B06AD">
        <w:rPr>
          <w:lang w:val="it-IT"/>
        </w:rPr>
        <w:t>PIL</w:t>
      </w:r>
      <w:r w:rsidR="00E97531" w:rsidRPr="005B06AD">
        <w:rPr>
          <w:lang w:val="it-IT"/>
        </w:rPr>
        <w:t xml:space="preserve"> pro </w:t>
      </w:r>
      <w:r w:rsidR="002F6F83" w:rsidRPr="005B06AD">
        <w:rPr>
          <w:lang w:val="it-IT"/>
        </w:rPr>
        <w:t>capit</w:t>
      </w:r>
      <w:r w:rsidR="00BB7D60" w:rsidRPr="005B06AD">
        <w:rPr>
          <w:lang w:val="it-IT"/>
        </w:rPr>
        <w:t>e</w:t>
      </w:r>
      <w:r w:rsidR="002F6F83" w:rsidRPr="005B06AD">
        <w:rPr>
          <w:lang w:val="it-IT"/>
        </w:rPr>
        <w:t xml:space="preserve"> ‖ (prodotto interno lordo pro capite in dollari USA per persona). Tutti i dati sono relativi all'anno 2018, ad eccezione del PIL per l'Iran, che è del 2017 (la stima del 2018 non era ancora disponibile). Dettagli aggiuntivi sulle variabili sono fornite nelle informazioni supplementari di seguito.</w:t>
      </w:r>
    </w:p>
    <w:p w14:paraId="10E08BD1" w14:textId="77777777" w:rsidR="002E0F7F" w:rsidRPr="005B06AD" w:rsidRDefault="002E0F7F">
      <w:pPr>
        <w:pStyle w:val="Corpotesto"/>
        <w:spacing w:before="1"/>
        <w:ind w:left="0"/>
        <w:rPr>
          <w:sz w:val="13"/>
          <w:lang w:val="it-IT"/>
        </w:rPr>
      </w:pPr>
    </w:p>
    <w:tbl>
      <w:tblPr>
        <w:tblStyle w:val="TableNormal1"/>
        <w:tblW w:w="0" w:type="auto"/>
        <w:tblInd w:w="117" w:type="dxa"/>
        <w:tblLayout w:type="fixed"/>
        <w:tblLook w:val="01E0" w:firstRow="1" w:lastRow="1" w:firstColumn="1" w:lastColumn="1" w:noHBand="0" w:noVBand="0"/>
      </w:tblPr>
      <w:tblGrid>
        <w:gridCol w:w="2015"/>
        <w:gridCol w:w="850"/>
        <w:gridCol w:w="1230"/>
        <w:gridCol w:w="1179"/>
        <w:gridCol w:w="1135"/>
        <w:gridCol w:w="981"/>
      </w:tblGrid>
      <w:tr w:rsidR="005B06AD" w:rsidRPr="005B06AD" w14:paraId="63A7D4A4" w14:textId="77777777" w:rsidTr="00DB1E83">
        <w:trPr>
          <w:trHeight w:val="371"/>
        </w:trPr>
        <w:tc>
          <w:tcPr>
            <w:tcW w:w="2015" w:type="dxa"/>
            <w:tcBorders>
              <w:top w:val="single" w:sz="4" w:space="0" w:color="000000"/>
              <w:left w:val="single" w:sz="4" w:space="0" w:color="000000"/>
            </w:tcBorders>
          </w:tcPr>
          <w:p w14:paraId="11609AE2" w14:textId="77777777" w:rsidR="002E0F7F" w:rsidRPr="005B06AD" w:rsidRDefault="002E0F7F">
            <w:pPr>
              <w:pStyle w:val="TableParagraph"/>
              <w:spacing w:before="0"/>
              <w:ind w:right="0"/>
              <w:jc w:val="left"/>
              <w:rPr>
                <w:rFonts w:ascii="Times New Roman"/>
                <w:lang w:val="it-IT"/>
              </w:rPr>
            </w:pPr>
          </w:p>
        </w:tc>
        <w:tc>
          <w:tcPr>
            <w:tcW w:w="850" w:type="dxa"/>
            <w:tcBorders>
              <w:top w:val="single" w:sz="4" w:space="0" w:color="000000"/>
            </w:tcBorders>
          </w:tcPr>
          <w:p w14:paraId="42228E4B" w14:textId="77777777" w:rsidR="002E0F7F" w:rsidRPr="005B06AD" w:rsidRDefault="0079706B">
            <w:pPr>
              <w:pStyle w:val="TableParagraph"/>
              <w:spacing w:before="30"/>
            </w:pPr>
            <w:r w:rsidRPr="005B06AD">
              <w:t>CO</w:t>
            </w:r>
            <w:r w:rsidRPr="005B06AD">
              <w:rPr>
                <w:vertAlign w:val="subscript"/>
              </w:rPr>
              <w:t>2</w:t>
            </w:r>
          </w:p>
        </w:tc>
        <w:tc>
          <w:tcPr>
            <w:tcW w:w="1230" w:type="dxa"/>
            <w:tcBorders>
              <w:top w:val="single" w:sz="4" w:space="0" w:color="000000"/>
            </w:tcBorders>
          </w:tcPr>
          <w:p w14:paraId="42B9A3F2" w14:textId="77777777" w:rsidR="002E0F7F" w:rsidRPr="005B06AD" w:rsidRDefault="0079706B" w:rsidP="00975AFC">
            <w:pPr>
              <w:pStyle w:val="TableParagraph"/>
              <w:spacing w:before="30"/>
            </w:pPr>
            <w:proofErr w:type="spellStart"/>
            <w:r w:rsidRPr="005B06AD">
              <w:t>Pop</w:t>
            </w:r>
            <w:r w:rsidR="00975AFC" w:rsidRPr="005B06AD">
              <w:t>o</w:t>
            </w:r>
            <w:r w:rsidRPr="005B06AD">
              <w:t>la</w:t>
            </w:r>
            <w:r w:rsidR="00975AFC" w:rsidRPr="005B06AD">
              <w:t>z</w:t>
            </w:r>
            <w:r w:rsidRPr="005B06AD">
              <w:t>ion</w:t>
            </w:r>
            <w:r w:rsidR="00975AFC" w:rsidRPr="005B06AD">
              <w:t>e</w:t>
            </w:r>
            <w:proofErr w:type="spellEnd"/>
          </w:p>
        </w:tc>
        <w:tc>
          <w:tcPr>
            <w:tcW w:w="1179" w:type="dxa"/>
            <w:tcBorders>
              <w:top w:val="single" w:sz="4" w:space="0" w:color="000000"/>
            </w:tcBorders>
          </w:tcPr>
          <w:p w14:paraId="66D34671" w14:textId="2CBCDF8B" w:rsidR="002E0F7F" w:rsidRPr="005B06AD" w:rsidRDefault="0079706B" w:rsidP="00BB7D60">
            <w:pPr>
              <w:pStyle w:val="TableParagraph"/>
              <w:spacing w:before="30"/>
              <w:ind w:right="102"/>
            </w:pPr>
            <w:r w:rsidRPr="005B06AD">
              <w:t>CO</w:t>
            </w:r>
            <w:r w:rsidRPr="005B06AD">
              <w:rPr>
                <w:vertAlign w:val="subscript"/>
              </w:rPr>
              <w:t>2</w:t>
            </w:r>
            <w:r w:rsidR="00E97531" w:rsidRPr="005B06AD">
              <w:t xml:space="preserve"> pro </w:t>
            </w:r>
            <w:proofErr w:type="spellStart"/>
            <w:r w:rsidRPr="005B06AD">
              <w:t>capit</w:t>
            </w:r>
            <w:r w:rsidR="00BB7D60" w:rsidRPr="005B06AD">
              <w:t>e</w:t>
            </w:r>
            <w:proofErr w:type="spellEnd"/>
          </w:p>
        </w:tc>
        <w:tc>
          <w:tcPr>
            <w:tcW w:w="1135" w:type="dxa"/>
            <w:tcBorders>
              <w:top w:val="single" w:sz="4" w:space="0" w:color="000000"/>
            </w:tcBorders>
          </w:tcPr>
          <w:p w14:paraId="52423A7C" w14:textId="3BBDAA07" w:rsidR="002E0F7F" w:rsidRPr="005B06AD" w:rsidRDefault="00BB7D60">
            <w:pPr>
              <w:pStyle w:val="TableParagraph"/>
              <w:spacing w:before="30"/>
              <w:ind w:right="102"/>
            </w:pPr>
            <w:proofErr w:type="spellStart"/>
            <w:r w:rsidRPr="005B06AD">
              <w:rPr>
                <w:w w:val="95"/>
              </w:rPr>
              <w:t>Percent</w:t>
            </w:r>
            <w:r w:rsidR="00DB1E83" w:rsidRPr="005B06AD">
              <w:rPr>
                <w:w w:val="95"/>
              </w:rPr>
              <w:t>uale</w:t>
            </w:r>
            <w:proofErr w:type="spellEnd"/>
          </w:p>
        </w:tc>
        <w:tc>
          <w:tcPr>
            <w:tcW w:w="981" w:type="dxa"/>
            <w:tcBorders>
              <w:top w:val="single" w:sz="4" w:space="0" w:color="000000"/>
              <w:right w:val="single" w:sz="4" w:space="0" w:color="000000"/>
            </w:tcBorders>
          </w:tcPr>
          <w:p w14:paraId="51CA944B" w14:textId="48CC076A" w:rsidR="002E0F7F" w:rsidRPr="005B06AD" w:rsidRDefault="00BB7D60" w:rsidP="00BB7D60">
            <w:pPr>
              <w:pStyle w:val="TableParagraph"/>
              <w:spacing w:before="30"/>
              <w:ind w:right="96"/>
            </w:pPr>
            <w:r w:rsidRPr="005B06AD">
              <w:rPr>
                <w:w w:val="95"/>
              </w:rPr>
              <w:t>PIL</w:t>
            </w:r>
            <w:r w:rsidR="00E97531" w:rsidRPr="005B06AD">
              <w:rPr>
                <w:w w:val="95"/>
              </w:rPr>
              <w:t xml:space="preserve"> pro </w:t>
            </w:r>
            <w:proofErr w:type="spellStart"/>
            <w:r w:rsidR="0079706B" w:rsidRPr="005B06AD">
              <w:rPr>
                <w:w w:val="95"/>
              </w:rPr>
              <w:t>capit</w:t>
            </w:r>
            <w:r w:rsidRPr="005B06AD">
              <w:rPr>
                <w:w w:val="95"/>
              </w:rPr>
              <w:t>e</w:t>
            </w:r>
            <w:proofErr w:type="spellEnd"/>
          </w:p>
        </w:tc>
      </w:tr>
      <w:tr w:rsidR="005B06AD" w:rsidRPr="005B06AD" w14:paraId="1B5342B8" w14:textId="77777777" w:rsidTr="00DB1E83">
        <w:trPr>
          <w:trHeight w:val="341"/>
        </w:trPr>
        <w:tc>
          <w:tcPr>
            <w:tcW w:w="2015" w:type="dxa"/>
            <w:tcBorders>
              <w:left w:val="single" w:sz="4" w:space="0" w:color="000000"/>
            </w:tcBorders>
          </w:tcPr>
          <w:p w14:paraId="389577C9" w14:textId="77777777" w:rsidR="002E0F7F" w:rsidRPr="005B06AD" w:rsidRDefault="0079706B" w:rsidP="00975AFC">
            <w:pPr>
              <w:pStyle w:val="TableParagraph"/>
              <w:spacing w:before="21"/>
              <w:ind w:left="107" w:right="0"/>
              <w:jc w:val="left"/>
            </w:pPr>
            <w:proofErr w:type="spellStart"/>
            <w:r w:rsidRPr="005B06AD">
              <w:t>Cina</w:t>
            </w:r>
            <w:proofErr w:type="spellEnd"/>
          </w:p>
        </w:tc>
        <w:tc>
          <w:tcPr>
            <w:tcW w:w="850" w:type="dxa"/>
          </w:tcPr>
          <w:p w14:paraId="59213C8D" w14:textId="77777777" w:rsidR="002E0F7F" w:rsidRPr="005B06AD" w:rsidRDefault="0079706B">
            <w:pPr>
              <w:pStyle w:val="TableParagraph"/>
              <w:spacing w:before="21"/>
            </w:pPr>
            <w:r w:rsidRPr="005B06AD">
              <w:rPr>
                <w:w w:val="95"/>
              </w:rPr>
              <w:t>9429</w:t>
            </w:r>
          </w:p>
        </w:tc>
        <w:tc>
          <w:tcPr>
            <w:tcW w:w="1230" w:type="dxa"/>
          </w:tcPr>
          <w:p w14:paraId="6B1CC197" w14:textId="77777777" w:rsidR="002E0F7F" w:rsidRPr="005B06AD" w:rsidRDefault="0079706B">
            <w:pPr>
              <w:pStyle w:val="TableParagraph"/>
              <w:spacing w:before="21"/>
              <w:ind w:right="100"/>
            </w:pPr>
            <w:r w:rsidRPr="005B06AD">
              <w:rPr>
                <w:w w:val="95"/>
              </w:rPr>
              <w:t>1447</w:t>
            </w:r>
          </w:p>
        </w:tc>
        <w:tc>
          <w:tcPr>
            <w:tcW w:w="1179" w:type="dxa"/>
          </w:tcPr>
          <w:p w14:paraId="493BABED" w14:textId="77777777" w:rsidR="002E0F7F" w:rsidRPr="005B06AD" w:rsidRDefault="0079706B">
            <w:pPr>
              <w:pStyle w:val="TableParagraph"/>
              <w:spacing w:before="21"/>
            </w:pPr>
            <w:r w:rsidRPr="005B06AD">
              <w:rPr>
                <w:w w:val="95"/>
              </w:rPr>
              <w:t>6.5</w:t>
            </w:r>
          </w:p>
        </w:tc>
        <w:tc>
          <w:tcPr>
            <w:tcW w:w="1135" w:type="dxa"/>
          </w:tcPr>
          <w:p w14:paraId="113F767F" w14:textId="77777777" w:rsidR="002E0F7F" w:rsidRPr="005B06AD" w:rsidRDefault="0079706B">
            <w:pPr>
              <w:pStyle w:val="TableParagraph"/>
              <w:spacing w:before="21"/>
              <w:ind w:right="102"/>
            </w:pPr>
            <w:r w:rsidRPr="005B06AD">
              <w:rPr>
                <w:w w:val="95"/>
              </w:rPr>
              <w:t>28.4%</w:t>
            </w:r>
          </w:p>
        </w:tc>
        <w:tc>
          <w:tcPr>
            <w:tcW w:w="981" w:type="dxa"/>
            <w:tcBorders>
              <w:right w:val="single" w:sz="4" w:space="0" w:color="000000"/>
            </w:tcBorders>
          </w:tcPr>
          <w:p w14:paraId="4AB19FFB" w14:textId="77777777" w:rsidR="002E0F7F" w:rsidRPr="005B06AD" w:rsidRDefault="0079706B">
            <w:pPr>
              <w:pStyle w:val="TableParagraph"/>
              <w:spacing w:before="21"/>
              <w:ind w:right="94"/>
            </w:pPr>
            <w:r w:rsidRPr="005B06AD">
              <w:rPr>
                <w:w w:val="95"/>
              </w:rPr>
              <w:t>$9,400</w:t>
            </w:r>
          </w:p>
        </w:tc>
      </w:tr>
      <w:tr w:rsidR="005B06AD" w:rsidRPr="005B06AD" w14:paraId="310C8EDF" w14:textId="77777777" w:rsidTr="00DB1E83">
        <w:trPr>
          <w:trHeight w:val="331"/>
        </w:trPr>
        <w:tc>
          <w:tcPr>
            <w:tcW w:w="2015" w:type="dxa"/>
            <w:tcBorders>
              <w:left w:val="single" w:sz="4" w:space="0" w:color="000000"/>
            </w:tcBorders>
          </w:tcPr>
          <w:p w14:paraId="64333AD9" w14:textId="77777777" w:rsidR="002E0F7F" w:rsidRPr="005B06AD" w:rsidRDefault="00975AFC" w:rsidP="00975AFC">
            <w:pPr>
              <w:pStyle w:val="TableParagraph"/>
              <w:ind w:left="107" w:right="0"/>
              <w:jc w:val="left"/>
            </w:pPr>
            <w:proofErr w:type="spellStart"/>
            <w:r w:rsidRPr="005B06AD">
              <w:t>Stati</w:t>
            </w:r>
            <w:proofErr w:type="spellEnd"/>
            <w:r w:rsidRPr="005B06AD">
              <w:t xml:space="preserve"> </w:t>
            </w:r>
            <w:proofErr w:type="spellStart"/>
            <w:r w:rsidR="0079706B" w:rsidRPr="005B06AD">
              <w:t>Unit</w:t>
            </w:r>
            <w:r w:rsidRPr="005B06AD">
              <w:t>i</w:t>
            </w:r>
            <w:proofErr w:type="spellEnd"/>
          </w:p>
        </w:tc>
        <w:tc>
          <w:tcPr>
            <w:tcW w:w="850" w:type="dxa"/>
          </w:tcPr>
          <w:p w14:paraId="1C6584E7" w14:textId="77777777" w:rsidR="002E0F7F" w:rsidRPr="005B06AD" w:rsidRDefault="0079706B">
            <w:pPr>
              <w:pStyle w:val="TableParagraph"/>
            </w:pPr>
            <w:r w:rsidRPr="005B06AD">
              <w:rPr>
                <w:w w:val="95"/>
              </w:rPr>
              <w:t>5145</w:t>
            </w:r>
          </w:p>
        </w:tc>
        <w:tc>
          <w:tcPr>
            <w:tcW w:w="1230" w:type="dxa"/>
          </w:tcPr>
          <w:p w14:paraId="7DA8653C" w14:textId="77777777" w:rsidR="002E0F7F" w:rsidRPr="005B06AD" w:rsidRDefault="0079706B">
            <w:pPr>
              <w:pStyle w:val="TableParagraph"/>
              <w:ind w:right="100"/>
            </w:pPr>
            <w:r w:rsidRPr="005B06AD">
              <w:t>327</w:t>
            </w:r>
          </w:p>
        </w:tc>
        <w:tc>
          <w:tcPr>
            <w:tcW w:w="1179" w:type="dxa"/>
          </w:tcPr>
          <w:p w14:paraId="4040AE66" w14:textId="77777777" w:rsidR="002E0F7F" w:rsidRPr="005B06AD" w:rsidRDefault="0079706B">
            <w:pPr>
              <w:pStyle w:val="TableParagraph"/>
            </w:pPr>
            <w:r w:rsidRPr="005B06AD">
              <w:rPr>
                <w:w w:val="95"/>
              </w:rPr>
              <w:t>15.7</w:t>
            </w:r>
          </w:p>
        </w:tc>
        <w:tc>
          <w:tcPr>
            <w:tcW w:w="1135" w:type="dxa"/>
          </w:tcPr>
          <w:p w14:paraId="0C6F65C9" w14:textId="77777777" w:rsidR="002E0F7F" w:rsidRPr="005B06AD" w:rsidRDefault="0079706B">
            <w:pPr>
              <w:pStyle w:val="TableParagraph"/>
              <w:ind w:right="102"/>
            </w:pPr>
            <w:r w:rsidRPr="005B06AD">
              <w:rPr>
                <w:w w:val="95"/>
              </w:rPr>
              <w:t>15.5%</w:t>
            </w:r>
          </w:p>
        </w:tc>
        <w:tc>
          <w:tcPr>
            <w:tcW w:w="981" w:type="dxa"/>
            <w:tcBorders>
              <w:right w:val="single" w:sz="4" w:space="0" w:color="000000"/>
            </w:tcBorders>
          </w:tcPr>
          <w:p w14:paraId="28A0849F" w14:textId="77777777" w:rsidR="002E0F7F" w:rsidRPr="005B06AD" w:rsidRDefault="0079706B">
            <w:pPr>
              <w:pStyle w:val="TableParagraph"/>
              <w:ind w:right="94"/>
            </w:pPr>
            <w:r w:rsidRPr="005B06AD">
              <w:rPr>
                <w:w w:val="95"/>
              </w:rPr>
              <w:t>$62,736</w:t>
            </w:r>
          </w:p>
        </w:tc>
      </w:tr>
      <w:tr w:rsidR="005B06AD" w:rsidRPr="005B06AD" w14:paraId="6F891643" w14:textId="77777777" w:rsidTr="00DB1E83">
        <w:trPr>
          <w:trHeight w:val="331"/>
        </w:trPr>
        <w:tc>
          <w:tcPr>
            <w:tcW w:w="2015" w:type="dxa"/>
            <w:tcBorders>
              <w:left w:val="single" w:sz="4" w:space="0" w:color="000000"/>
            </w:tcBorders>
          </w:tcPr>
          <w:p w14:paraId="49D1C2F3" w14:textId="77777777" w:rsidR="002E0F7F" w:rsidRPr="005B06AD" w:rsidRDefault="00975AFC" w:rsidP="00975AFC">
            <w:pPr>
              <w:pStyle w:val="TableParagraph"/>
              <w:ind w:left="107" w:right="0"/>
              <w:jc w:val="left"/>
            </w:pPr>
            <w:proofErr w:type="spellStart"/>
            <w:r w:rsidRPr="005B06AD">
              <w:t>Union</w:t>
            </w:r>
            <w:r w:rsidR="0079706B" w:rsidRPr="005B06AD">
              <w:t>e</w:t>
            </w:r>
            <w:proofErr w:type="spellEnd"/>
            <w:r w:rsidR="0079706B" w:rsidRPr="005B06AD">
              <w:t xml:space="preserve"> </w:t>
            </w:r>
            <w:proofErr w:type="spellStart"/>
            <w:r w:rsidR="0079706B" w:rsidRPr="005B06AD">
              <w:t>Europea</w:t>
            </w:r>
            <w:proofErr w:type="spellEnd"/>
          </w:p>
        </w:tc>
        <w:tc>
          <w:tcPr>
            <w:tcW w:w="850" w:type="dxa"/>
          </w:tcPr>
          <w:p w14:paraId="0F30B820" w14:textId="77777777" w:rsidR="002E0F7F" w:rsidRPr="005B06AD" w:rsidRDefault="0079706B">
            <w:pPr>
              <w:pStyle w:val="TableParagraph"/>
            </w:pPr>
            <w:r w:rsidRPr="005B06AD">
              <w:rPr>
                <w:w w:val="95"/>
              </w:rPr>
              <w:t>3470</w:t>
            </w:r>
          </w:p>
        </w:tc>
        <w:tc>
          <w:tcPr>
            <w:tcW w:w="1230" w:type="dxa"/>
          </w:tcPr>
          <w:p w14:paraId="5B1460EA" w14:textId="77777777" w:rsidR="002E0F7F" w:rsidRPr="005B06AD" w:rsidRDefault="0079706B">
            <w:pPr>
              <w:pStyle w:val="TableParagraph"/>
              <w:ind w:right="100"/>
            </w:pPr>
            <w:r w:rsidRPr="005B06AD">
              <w:t>510</w:t>
            </w:r>
          </w:p>
        </w:tc>
        <w:tc>
          <w:tcPr>
            <w:tcW w:w="1179" w:type="dxa"/>
          </w:tcPr>
          <w:p w14:paraId="37D6E12D" w14:textId="77777777" w:rsidR="002E0F7F" w:rsidRPr="005B06AD" w:rsidRDefault="0079706B">
            <w:pPr>
              <w:pStyle w:val="TableParagraph"/>
            </w:pPr>
            <w:r w:rsidRPr="005B06AD">
              <w:rPr>
                <w:w w:val="95"/>
              </w:rPr>
              <w:t>6.8</w:t>
            </w:r>
          </w:p>
        </w:tc>
        <w:tc>
          <w:tcPr>
            <w:tcW w:w="1135" w:type="dxa"/>
          </w:tcPr>
          <w:p w14:paraId="498951F7" w14:textId="77777777" w:rsidR="002E0F7F" w:rsidRPr="005B06AD" w:rsidRDefault="0079706B">
            <w:pPr>
              <w:pStyle w:val="TableParagraph"/>
              <w:ind w:right="102"/>
            </w:pPr>
            <w:r w:rsidRPr="005B06AD">
              <w:rPr>
                <w:w w:val="95"/>
              </w:rPr>
              <w:t>10.4%</w:t>
            </w:r>
          </w:p>
        </w:tc>
        <w:tc>
          <w:tcPr>
            <w:tcW w:w="981" w:type="dxa"/>
            <w:tcBorders>
              <w:right w:val="single" w:sz="4" w:space="0" w:color="000000"/>
            </w:tcBorders>
          </w:tcPr>
          <w:p w14:paraId="341A49AC" w14:textId="77777777" w:rsidR="002E0F7F" w:rsidRPr="005B06AD" w:rsidRDefault="0079706B">
            <w:pPr>
              <w:pStyle w:val="TableParagraph"/>
              <w:ind w:right="94"/>
            </w:pPr>
            <w:r w:rsidRPr="005B06AD">
              <w:rPr>
                <w:w w:val="95"/>
              </w:rPr>
              <w:t>$36,806</w:t>
            </w:r>
          </w:p>
        </w:tc>
      </w:tr>
      <w:tr w:rsidR="005B06AD" w:rsidRPr="005B06AD" w14:paraId="26ED2EF3" w14:textId="77777777" w:rsidTr="00DB1E83">
        <w:trPr>
          <w:trHeight w:val="330"/>
        </w:trPr>
        <w:tc>
          <w:tcPr>
            <w:tcW w:w="2015" w:type="dxa"/>
            <w:tcBorders>
              <w:left w:val="single" w:sz="4" w:space="0" w:color="000000"/>
            </w:tcBorders>
          </w:tcPr>
          <w:p w14:paraId="7927ECD1" w14:textId="77777777" w:rsidR="002E0F7F" w:rsidRPr="005B06AD" w:rsidRDefault="0079706B">
            <w:pPr>
              <w:pStyle w:val="TableParagraph"/>
              <w:ind w:left="107" w:right="0"/>
              <w:jc w:val="left"/>
            </w:pPr>
            <w:r w:rsidRPr="005B06AD">
              <w:t>India</w:t>
            </w:r>
          </w:p>
        </w:tc>
        <w:tc>
          <w:tcPr>
            <w:tcW w:w="850" w:type="dxa"/>
          </w:tcPr>
          <w:p w14:paraId="0BB4FE19" w14:textId="77777777" w:rsidR="002E0F7F" w:rsidRPr="005B06AD" w:rsidRDefault="0079706B">
            <w:pPr>
              <w:pStyle w:val="TableParagraph"/>
            </w:pPr>
            <w:r w:rsidRPr="005B06AD">
              <w:rPr>
                <w:w w:val="95"/>
              </w:rPr>
              <w:t>2479</w:t>
            </w:r>
          </w:p>
        </w:tc>
        <w:tc>
          <w:tcPr>
            <w:tcW w:w="1230" w:type="dxa"/>
          </w:tcPr>
          <w:p w14:paraId="3984B569" w14:textId="77777777" w:rsidR="002E0F7F" w:rsidRPr="005B06AD" w:rsidRDefault="0079706B">
            <w:pPr>
              <w:pStyle w:val="TableParagraph"/>
              <w:ind w:right="100"/>
            </w:pPr>
            <w:r w:rsidRPr="005B06AD">
              <w:rPr>
                <w:w w:val="95"/>
              </w:rPr>
              <w:t>1354</w:t>
            </w:r>
          </w:p>
        </w:tc>
        <w:tc>
          <w:tcPr>
            <w:tcW w:w="1179" w:type="dxa"/>
          </w:tcPr>
          <w:p w14:paraId="33305D0E" w14:textId="77777777" w:rsidR="002E0F7F" w:rsidRPr="005B06AD" w:rsidRDefault="0079706B">
            <w:pPr>
              <w:pStyle w:val="TableParagraph"/>
            </w:pPr>
            <w:r w:rsidRPr="005B06AD">
              <w:rPr>
                <w:w w:val="95"/>
              </w:rPr>
              <w:t>1.8</w:t>
            </w:r>
          </w:p>
        </w:tc>
        <w:tc>
          <w:tcPr>
            <w:tcW w:w="1135" w:type="dxa"/>
          </w:tcPr>
          <w:p w14:paraId="616EA8BE" w14:textId="77777777" w:rsidR="002E0F7F" w:rsidRPr="005B06AD" w:rsidRDefault="0079706B">
            <w:pPr>
              <w:pStyle w:val="TableParagraph"/>
            </w:pPr>
            <w:r w:rsidRPr="005B06AD">
              <w:rPr>
                <w:w w:val="95"/>
              </w:rPr>
              <w:t>7.5%</w:t>
            </w:r>
          </w:p>
        </w:tc>
        <w:tc>
          <w:tcPr>
            <w:tcW w:w="981" w:type="dxa"/>
            <w:tcBorders>
              <w:right w:val="single" w:sz="4" w:space="0" w:color="000000"/>
            </w:tcBorders>
          </w:tcPr>
          <w:p w14:paraId="6D4C65E0" w14:textId="77777777" w:rsidR="002E0F7F" w:rsidRPr="005B06AD" w:rsidRDefault="0079706B">
            <w:pPr>
              <w:pStyle w:val="TableParagraph"/>
              <w:ind w:right="94"/>
            </w:pPr>
            <w:r w:rsidRPr="005B06AD">
              <w:rPr>
                <w:w w:val="95"/>
              </w:rPr>
              <w:t>$2,016</w:t>
            </w:r>
          </w:p>
        </w:tc>
      </w:tr>
      <w:tr w:rsidR="005B06AD" w:rsidRPr="005B06AD" w14:paraId="69FC15D8" w14:textId="77777777" w:rsidTr="00DB1E83">
        <w:trPr>
          <w:trHeight w:val="330"/>
        </w:trPr>
        <w:tc>
          <w:tcPr>
            <w:tcW w:w="2015" w:type="dxa"/>
            <w:tcBorders>
              <w:left w:val="single" w:sz="4" w:space="0" w:color="000000"/>
            </w:tcBorders>
          </w:tcPr>
          <w:p w14:paraId="742EDB65" w14:textId="77777777" w:rsidR="002E0F7F" w:rsidRPr="005B06AD" w:rsidRDefault="0079706B">
            <w:pPr>
              <w:pStyle w:val="TableParagraph"/>
              <w:spacing w:before="10"/>
              <w:ind w:left="107" w:right="0"/>
              <w:jc w:val="left"/>
            </w:pPr>
            <w:r w:rsidRPr="005B06AD">
              <w:t>Russia</w:t>
            </w:r>
          </w:p>
        </w:tc>
        <w:tc>
          <w:tcPr>
            <w:tcW w:w="850" w:type="dxa"/>
          </w:tcPr>
          <w:p w14:paraId="44A39798" w14:textId="77777777" w:rsidR="002E0F7F" w:rsidRPr="005B06AD" w:rsidRDefault="0079706B">
            <w:pPr>
              <w:pStyle w:val="TableParagraph"/>
              <w:spacing w:before="10"/>
            </w:pPr>
            <w:r w:rsidRPr="005B06AD">
              <w:rPr>
                <w:w w:val="95"/>
              </w:rPr>
              <w:t>1551</w:t>
            </w:r>
          </w:p>
        </w:tc>
        <w:tc>
          <w:tcPr>
            <w:tcW w:w="1230" w:type="dxa"/>
          </w:tcPr>
          <w:p w14:paraId="52FB7D41" w14:textId="77777777" w:rsidR="002E0F7F" w:rsidRPr="005B06AD" w:rsidRDefault="0079706B">
            <w:pPr>
              <w:pStyle w:val="TableParagraph"/>
              <w:spacing w:before="10"/>
              <w:ind w:right="100"/>
            </w:pPr>
            <w:r w:rsidRPr="005B06AD">
              <w:t>144</w:t>
            </w:r>
          </w:p>
        </w:tc>
        <w:tc>
          <w:tcPr>
            <w:tcW w:w="1179" w:type="dxa"/>
          </w:tcPr>
          <w:p w14:paraId="15011B0E" w14:textId="77777777" w:rsidR="002E0F7F" w:rsidRPr="005B06AD" w:rsidRDefault="0079706B">
            <w:pPr>
              <w:pStyle w:val="TableParagraph"/>
              <w:spacing w:before="10"/>
            </w:pPr>
            <w:r w:rsidRPr="005B06AD">
              <w:rPr>
                <w:w w:val="95"/>
              </w:rPr>
              <w:t>10.8</w:t>
            </w:r>
          </w:p>
        </w:tc>
        <w:tc>
          <w:tcPr>
            <w:tcW w:w="1135" w:type="dxa"/>
          </w:tcPr>
          <w:p w14:paraId="6677A5E6" w14:textId="77777777" w:rsidR="002E0F7F" w:rsidRPr="005B06AD" w:rsidRDefault="0079706B">
            <w:pPr>
              <w:pStyle w:val="TableParagraph"/>
              <w:spacing w:before="10"/>
            </w:pPr>
            <w:r w:rsidRPr="005B06AD">
              <w:rPr>
                <w:w w:val="95"/>
              </w:rPr>
              <w:t>4.7%</w:t>
            </w:r>
          </w:p>
        </w:tc>
        <w:tc>
          <w:tcPr>
            <w:tcW w:w="981" w:type="dxa"/>
            <w:tcBorders>
              <w:right w:val="single" w:sz="4" w:space="0" w:color="000000"/>
            </w:tcBorders>
          </w:tcPr>
          <w:p w14:paraId="17246324" w14:textId="77777777" w:rsidR="002E0F7F" w:rsidRPr="005B06AD" w:rsidRDefault="0079706B">
            <w:pPr>
              <w:pStyle w:val="TableParagraph"/>
              <w:spacing w:before="10"/>
              <w:ind w:right="94"/>
            </w:pPr>
            <w:r w:rsidRPr="005B06AD">
              <w:rPr>
                <w:w w:val="95"/>
              </w:rPr>
              <w:t>$11,531</w:t>
            </w:r>
          </w:p>
        </w:tc>
      </w:tr>
      <w:tr w:rsidR="005B06AD" w:rsidRPr="005B06AD" w14:paraId="7A8F03AB" w14:textId="77777777" w:rsidTr="00DB1E83">
        <w:trPr>
          <w:trHeight w:val="331"/>
        </w:trPr>
        <w:tc>
          <w:tcPr>
            <w:tcW w:w="2015" w:type="dxa"/>
            <w:tcBorders>
              <w:left w:val="single" w:sz="4" w:space="0" w:color="000000"/>
            </w:tcBorders>
          </w:tcPr>
          <w:p w14:paraId="06DF0166" w14:textId="77777777" w:rsidR="002E0F7F" w:rsidRPr="005B06AD" w:rsidRDefault="00975AFC">
            <w:pPr>
              <w:pStyle w:val="TableParagraph"/>
              <w:ind w:left="107" w:right="0"/>
              <w:jc w:val="left"/>
            </w:pPr>
            <w:proofErr w:type="spellStart"/>
            <w:r w:rsidRPr="005B06AD">
              <w:t>Giappone</w:t>
            </w:r>
            <w:proofErr w:type="spellEnd"/>
          </w:p>
        </w:tc>
        <w:tc>
          <w:tcPr>
            <w:tcW w:w="850" w:type="dxa"/>
          </w:tcPr>
          <w:p w14:paraId="3445582F" w14:textId="77777777" w:rsidR="002E0F7F" w:rsidRPr="005B06AD" w:rsidRDefault="0079706B">
            <w:pPr>
              <w:pStyle w:val="TableParagraph"/>
            </w:pPr>
            <w:r w:rsidRPr="005B06AD">
              <w:rPr>
                <w:w w:val="95"/>
              </w:rPr>
              <w:t>1148</w:t>
            </w:r>
          </w:p>
        </w:tc>
        <w:tc>
          <w:tcPr>
            <w:tcW w:w="1230" w:type="dxa"/>
          </w:tcPr>
          <w:p w14:paraId="6354CA67" w14:textId="77777777" w:rsidR="002E0F7F" w:rsidRPr="005B06AD" w:rsidRDefault="0079706B">
            <w:pPr>
              <w:pStyle w:val="TableParagraph"/>
              <w:ind w:right="100"/>
            </w:pPr>
            <w:r w:rsidRPr="005B06AD">
              <w:t>127</w:t>
            </w:r>
          </w:p>
        </w:tc>
        <w:tc>
          <w:tcPr>
            <w:tcW w:w="1179" w:type="dxa"/>
          </w:tcPr>
          <w:p w14:paraId="46E5CE9F" w14:textId="77777777" w:rsidR="002E0F7F" w:rsidRPr="005B06AD" w:rsidRDefault="0079706B">
            <w:pPr>
              <w:pStyle w:val="TableParagraph"/>
            </w:pPr>
            <w:r w:rsidRPr="005B06AD">
              <w:rPr>
                <w:w w:val="95"/>
              </w:rPr>
              <w:t>9.0</w:t>
            </w:r>
          </w:p>
        </w:tc>
        <w:tc>
          <w:tcPr>
            <w:tcW w:w="1135" w:type="dxa"/>
          </w:tcPr>
          <w:p w14:paraId="7934979A" w14:textId="77777777" w:rsidR="002E0F7F" w:rsidRPr="005B06AD" w:rsidRDefault="0079706B">
            <w:pPr>
              <w:pStyle w:val="TableParagraph"/>
            </w:pPr>
            <w:r w:rsidRPr="005B06AD">
              <w:rPr>
                <w:w w:val="95"/>
              </w:rPr>
              <w:t>3.5%</w:t>
            </w:r>
          </w:p>
        </w:tc>
        <w:tc>
          <w:tcPr>
            <w:tcW w:w="981" w:type="dxa"/>
            <w:tcBorders>
              <w:right w:val="single" w:sz="4" w:space="0" w:color="000000"/>
            </w:tcBorders>
          </w:tcPr>
          <w:p w14:paraId="71A8FA16" w14:textId="77777777" w:rsidR="002E0F7F" w:rsidRPr="005B06AD" w:rsidRDefault="0079706B">
            <w:pPr>
              <w:pStyle w:val="TableParagraph"/>
              <w:ind w:right="94"/>
            </w:pPr>
            <w:r w:rsidRPr="005B06AD">
              <w:rPr>
                <w:w w:val="95"/>
              </w:rPr>
              <w:t>$39,077</w:t>
            </w:r>
          </w:p>
        </w:tc>
      </w:tr>
      <w:tr w:rsidR="005B06AD" w:rsidRPr="005B06AD" w14:paraId="24CCF9CB" w14:textId="77777777" w:rsidTr="00DB1E83">
        <w:trPr>
          <w:trHeight w:val="331"/>
        </w:trPr>
        <w:tc>
          <w:tcPr>
            <w:tcW w:w="2015" w:type="dxa"/>
            <w:tcBorders>
              <w:left w:val="single" w:sz="4" w:space="0" w:color="000000"/>
            </w:tcBorders>
          </w:tcPr>
          <w:p w14:paraId="5B8CA3B1" w14:textId="77777777" w:rsidR="002E0F7F" w:rsidRPr="005B06AD" w:rsidRDefault="00975AFC">
            <w:pPr>
              <w:pStyle w:val="TableParagraph"/>
              <w:ind w:left="107" w:right="0"/>
              <w:jc w:val="left"/>
            </w:pPr>
            <w:proofErr w:type="spellStart"/>
            <w:r w:rsidRPr="005B06AD">
              <w:t>C</w:t>
            </w:r>
            <w:r w:rsidR="0079706B" w:rsidRPr="005B06AD">
              <w:t>orea</w:t>
            </w:r>
            <w:proofErr w:type="spellEnd"/>
            <w:r w:rsidRPr="005B06AD">
              <w:t xml:space="preserve"> del Sud</w:t>
            </w:r>
          </w:p>
        </w:tc>
        <w:tc>
          <w:tcPr>
            <w:tcW w:w="850" w:type="dxa"/>
          </w:tcPr>
          <w:p w14:paraId="3D709EC8" w14:textId="77777777" w:rsidR="002E0F7F" w:rsidRPr="005B06AD" w:rsidRDefault="0079706B">
            <w:pPr>
              <w:pStyle w:val="TableParagraph"/>
            </w:pPr>
            <w:r w:rsidRPr="005B06AD">
              <w:rPr>
                <w:w w:val="95"/>
              </w:rPr>
              <w:t>698</w:t>
            </w:r>
          </w:p>
        </w:tc>
        <w:tc>
          <w:tcPr>
            <w:tcW w:w="1230" w:type="dxa"/>
          </w:tcPr>
          <w:p w14:paraId="24884490" w14:textId="77777777" w:rsidR="002E0F7F" w:rsidRPr="005B06AD" w:rsidRDefault="0079706B">
            <w:pPr>
              <w:pStyle w:val="TableParagraph"/>
              <w:ind w:right="100"/>
            </w:pPr>
            <w:r w:rsidRPr="005B06AD">
              <w:rPr>
                <w:w w:val="95"/>
              </w:rPr>
              <w:t>51</w:t>
            </w:r>
          </w:p>
        </w:tc>
        <w:tc>
          <w:tcPr>
            <w:tcW w:w="1179" w:type="dxa"/>
          </w:tcPr>
          <w:p w14:paraId="1ABAFCFD" w14:textId="77777777" w:rsidR="002E0F7F" w:rsidRPr="005B06AD" w:rsidRDefault="0079706B">
            <w:pPr>
              <w:pStyle w:val="TableParagraph"/>
            </w:pPr>
            <w:r w:rsidRPr="005B06AD">
              <w:rPr>
                <w:w w:val="95"/>
              </w:rPr>
              <w:t>13.6</w:t>
            </w:r>
          </w:p>
        </w:tc>
        <w:tc>
          <w:tcPr>
            <w:tcW w:w="1135" w:type="dxa"/>
          </w:tcPr>
          <w:p w14:paraId="128843FD" w14:textId="77777777" w:rsidR="002E0F7F" w:rsidRPr="005B06AD" w:rsidRDefault="0079706B">
            <w:pPr>
              <w:pStyle w:val="TableParagraph"/>
            </w:pPr>
            <w:r w:rsidRPr="005B06AD">
              <w:rPr>
                <w:w w:val="95"/>
              </w:rPr>
              <w:t>2.1%</w:t>
            </w:r>
          </w:p>
        </w:tc>
        <w:tc>
          <w:tcPr>
            <w:tcW w:w="981" w:type="dxa"/>
            <w:tcBorders>
              <w:right w:val="single" w:sz="4" w:space="0" w:color="000000"/>
            </w:tcBorders>
          </w:tcPr>
          <w:p w14:paraId="10A4FEBB" w14:textId="77777777" w:rsidR="002E0F7F" w:rsidRPr="005B06AD" w:rsidRDefault="0079706B">
            <w:pPr>
              <w:pStyle w:val="TableParagraph"/>
              <w:ind w:right="94"/>
            </w:pPr>
            <w:r w:rsidRPr="005B06AD">
              <w:rPr>
                <w:w w:val="95"/>
              </w:rPr>
              <w:t>$31,663</w:t>
            </w:r>
          </w:p>
        </w:tc>
      </w:tr>
      <w:tr w:rsidR="005B06AD" w:rsidRPr="005B06AD" w14:paraId="297ADECA" w14:textId="77777777" w:rsidTr="00DB1E83">
        <w:trPr>
          <w:trHeight w:val="331"/>
        </w:trPr>
        <w:tc>
          <w:tcPr>
            <w:tcW w:w="2015" w:type="dxa"/>
            <w:tcBorders>
              <w:left w:val="single" w:sz="4" w:space="0" w:color="000000"/>
            </w:tcBorders>
          </w:tcPr>
          <w:p w14:paraId="66979A84" w14:textId="77777777" w:rsidR="002E0F7F" w:rsidRPr="005B06AD" w:rsidRDefault="0079706B">
            <w:pPr>
              <w:pStyle w:val="TableParagraph"/>
              <w:ind w:left="107" w:right="0"/>
              <w:jc w:val="left"/>
            </w:pPr>
            <w:r w:rsidRPr="005B06AD">
              <w:t>Iran</w:t>
            </w:r>
          </w:p>
        </w:tc>
        <w:tc>
          <w:tcPr>
            <w:tcW w:w="850" w:type="dxa"/>
          </w:tcPr>
          <w:p w14:paraId="610F9584" w14:textId="77777777" w:rsidR="002E0F7F" w:rsidRPr="005B06AD" w:rsidRDefault="0079706B">
            <w:pPr>
              <w:pStyle w:val="TableParagraph"/>
            </w:pPr>
            <w:r w:rsidRPr="005B06AD">
              <w:rPr>
                <w:w w:val="95"/>
              </w:rPr>
              <w:t>656</w:t>
            </w:r>
          </w:p>
        </w:tc>
        <w:tc>
          <w:tcPr>
            <w:tcW w:w="1230" w:type="dxa"/>
          </w:tcPr>
          <w:p w14:paraId="2DE7C172" w14:textId="77777777" w:rsidR="002E0F7F" w:rsidRPr="005B06AD" w:rsidRDefault="0079706B">
            <w:pPr>
              <w:pStyle w:val="TableParagraph"/>
              <w:ind w:right="100"/>
            </w:pPr>
            <w:r w:rsidRPr="005B06AD">
              <w:rPr>
                <w:w w:val="95"/>
              </w:rPr>
              <w:t>82</w:t>
            </w:r>
          </w:p>
        </w:tc>
        <w:tc>
          <w:tcPr>
            <w:tcW w:w="1179" w:type="dxa"/>
          </w:tcPr>
          <w:p w14:paraId="2EF4F9BF" w14:textId="77777777" w:rsidR="002E0F7F" w:rsidRPr="005B06AD" w:rsidRDefault="0079706B">
            <w:pPr>
              <w:pStyle w:val="TableParagraph"/>
            </w:pPr>
            <w:r w:rsidRPr="005B06AD">
              <w:rPr>
                <w:w w:val="95"/>
              </w:rPr>
              <w:t>8.0</w:t>
            </w:r>
          </w:p>
        </w:tc>
        <w:tc>
          <w:tcPr>
            <w:tcW w:w="1135" w:type="dxa"/>
          </w:tcPr>
          <w:p w14:paraId="071DEB3B" w14:textId="77777777" w:rsidR="002E0F7F" w:rsidRPr="005B06AD" w:rsidRDefault="0079706B">
            <w:pPr>
              <w:pStyle w:val="TableParagraph"/>
            </w:pPr>
            <w:r w:rsidRPr="005B06AD">
              <w:rPr>
                <w:w w:val="95"/>
              </w:rPr>
              <w:t>2.0%</w:t>
            </w:r>
          </w:p>
        </w:tc>
        <w:tc>
          <w:tcPr>
            <w:tcW w:w="981" w:type="dxa"/>
            <w:tcBorders>
              <w:right w:val="single" w:sz="4" w:space="0" w:color="000000"/>
            </w:tcBorders>
          </w:tcPr>
          <w:p w14:paraId="21D5FDEB" w14:textId="77777777" w:rsidR="002E0F7F" w:rsidRPr="005B06AD" w:rsidRDefault="0079706B">
            <w:pPr>
              <w:pStyle w:val="TableParagraph"/>
              <w:ind w:right="94"/>
            </w:pPr>
            <w:r w:rsidRPr="005B06AD">
              <w:rPr>
                <w:w w:val="95"/>
              </w:rPr>
              <w:t>$5,536</w:t>
            </w:r>
          </w:p>
        </w:tc>
      </w:tr>
      <w:tr w:rsidR="005B06AD" w:rsidRPr="005B06AD" w14:paraId="24D423FB" w14:textId="77777777" w:rsidTr="00DB1E83">
        <w:trPr>
          <w:trHeight w:val="331"/>
        </w:trPr>
        <w:tc>
          <w:tcPr>
            <w:tcW w:w="2015" w:type="dxa"/>
            <w:tcBorders>
              <w:left w:val="single" w:sz="4" w:space="0" w:color="000000"/>
            </w:tcBorders>
          </w:tcPr>
          <w:p w14:paraId="69C1AA9F" w14:textId="77777777" w:rsidR="002E0F7F" w:rsidRPr="005B06AD" w:rsidRDefault="0079706B">
            <w:pPr>
              <w:pStyle w:val="TableParagraph"/>
              <w:ind w:left="107" w:right="0"/>
              <w:jc w:val="left"/>
            </w:pPr>
            <w:r w:rsidRPr="005B06AD">
              <w:t>Arabia</w:t>
            </w:r>
            <w:r w:rsidR="00975AFC" w:rsidRPr="005B06AD">
              <w:t xml:space="preserve"> </w:t>
            </w:r>
            <w:proofErr w:type="spellStart"/>
            <w:r w:rsidR="00975AFC" w:rsidRPr="005B06AD">
              <w:t>Saudita</w:t>
            </w:r>
            <w:proofErr w:type="spellEnd"/>
          </w:p>
        </w:tc>
        <w:tc>
          <w:tcPr>
            <w:tcW w:w="850" w:type="dxa"/>
          </w:tcPr>
          <w:p w14:paraId="45BB7B4A" w14:textId="77777777" w:rsidR="002E0F7F" w:rsidRPr="005B06AD" w:rsidRDefault="0079706B">
            <w:pPr>
              <w:pStyle w:val="TableParagraph"/>
            </w:pPr>
            <w:r w:rsidRPr="005B06AD">
              <w:rPr>
                <w:w w:val="95"/>
              </w:rPr>
              <w:t>571</w:t>
            </w:r>
          </w:p>
        </w:tc>
        <w:tc>
          <w:tcPr>
            <w:tcW w:w="1230" w:type="dxa"/>
          </w:tcPr>
          <w:p w14:paraId="4475A471" w14:textId="77777777" w:rsidR="002E0F7F" w:rsidRPr="005B06AD" w:rsidRDefault="0079706B">
            <w:pPr>
              <w:pStyle w:val="TableParagraph"/>
              <w:ind w:right="100"/>
            </w:pPr>
            <w:r w:rsidRPr="005B06AD">
              <w:rPr>
                <w:w w:val="95"/>
              </w:rPr>
              <w:t>34</w:t>
            </w:r>
          </w:p>
        </w:tc>
        <w:tc>
          <w:tcPr>
            <w:tcW w:w="1179" w:type="dxa"/>
          </w:tcPr>
          <w:p w14:paraId="703265BB" w14:textId="77777777" w:rsidR="002E0F7F" w:rsidRPr="005B06AD" w:rsidRDefault="0079706B">
            <w:pPr>
              <w:pStyle w:val="TableParagraph"/>
            </w:pPr>
            <w:r w:rsidRPr="005B06AD">
              <w:rPr>
                <w:w w:val="95"/>
              </w:rPr>
              <w:t>17.0</w:t>
            </w:r>
          </w:p>
        </w:tc>
        <w:tc>
          <w:tcPr>
            <w:tcW w:w="1135" w:type="dxa"/>
          </w:tcPr>
          <w:p w14:paraId="5875993D" w14:textId="77777777" w:rsidR="002E0F7F" w:rsidRPr="005B06AD" w:rsidRDefault="0079706B">
            <w:pPr>
              <w:pStyle w:val="TableParagraph"/>
            </w:pPr>
            <w:r w:rsidRPr="005B06AD">
              <w:rPr>
                <w:w w:val="95"/>
              </w:rPr>
              <w:t>1.7%</w:t>
            </w:r>
          </w:p>
        </w:tc>
        <w:tc>
          <w:tcPr>
            <w:tcW w:w="981" w:type="dxa"/>
            <w:tcBorders>
              <w:right w:val="single" w:sz="4" w:space="0" w:color="000000"/>
            </w:tcBorders>
          </w:tcPr>
          <w:p w14:paraId="32849EFD" w14:textId="77777777" w:rsidR="002E0F7F" w:rsidRPr="005B06AD" w:rsidRDefault="0079706B">
            <w:pPr>
              <w:pStyle w:val="TableParagraph"/>
              <w:ind w:right="94"/>
            </w:pPr>
            <w:r w:rsidRPr="005B06AD">
              <w:rPr>
                <w:w w:val="95"/>
              </w:rPr>
              <w:t>$23,305</w:t>
            </w:r>
          </w:p>
        </w:tc>
      </w:tr>
      <w:tr w:rsidR="005B06AD" w:rsidRPr="005B06AD" w14:paraId="6482D713" w14:textId="77777777" w:rsidTr="00DB1E83">
        <w:trPr>
          <w:trHeight w:val="330"/>
        </w:trPr>
        <w:tc>
          <w:tcPr>
            <w:tcW w:w="2015" w:type="dxa"/>
            <w:tcBorders>
              <w:left w:val="single" w:sz="4" w:space="0" w:color="000000"/>
            </w:tcBorders>
          </w:tcPr>
          <w:p w14:paraId="79752660" w14:textId="77777777" w:rsidR="002E0F7F" w:rsidRPr="005B06AD" w:rsidRDefault="0079706B">
            <w:pPr>
              <w:pStyle w:val="TableParagraph"/>
              <w:ind w:left="107" w:right="0"/>
              <w:jc w:val="left"/>
            </w:pPr>
            <w:r w:rsidRPr="005B06AD">
              <w:t>Canada</w:t>
            </w:r>
          </w:p>
        </w:tc>
        <w:tc>
          <w:tcPr>
            <w:tcW w:w="850" w:type="dxa"/>
          </w:tcPr>
          <w:p w14:paraId="1E4E3B0C" w14:textId="77777777" w:rsidR="002E0F7F" w:rsidRPr="005B06AD" w:rsidRDefault="0079706B">
            <w:pPr>
              <w:pStyle w:val="TableParagraph"/>
            </w:pPr>
            <w:r w:rsidRPr="005B06AD">
              <w:rPr>
                <w:w w:val="95"/>
              </w:rPr>
              <w:t>550</w:t>
            </w:r>
          </w:p>
        </w:tc>
        <w:tc>
          <w:tcPr>
            <w:tcW w:w="1230" w:type="dxa"/>
          </w:tcPr>
          <w:p w14:paraId="3A3BECBD" w14:textId="77777777" w:rsidR="002E0F7F" w:rsidRPr="005B06AD" w:rsidRDefault="0079706B">
            <w:pPr>
              <w:pStyle w:val="TableParagraph"/>
              <w:ind w:right="100"/>
            </w:pPr>
            <w:r w:rsidRPr="005B06AD">
              <w:rPr>
                <w:w w:val="95"/>
              </w:rPr>
              <w:t>37</w:t>
            </w:r>
          </w:p>
        </w:tc>
        <w:tc>
          <w:tcPr>
            <w:tcW w:w="1179" w:type="dxa"/>
          </w:tcPr>
          <w:p w14:paraId="27F5DD09" w14:textId="77777777" w:rsidR="002E0F7F" w:rsidRPr="005B06AD" w:rsidRDefault="0079706B">
            <w:pPr>
              <w:pStyle w:val="TableParagraph"/>
            </w:pPr>
            <w:r w:rsidRPr="005B06AD">
              <w:rPr>
                <w:w w:val="95"/>
              </w:rPr>
              <w:t>14.9</w:t>
            </w:r>
          </w:p>
        </w:tc>
        <w:tc>
          <w:tcPr>
            <w:tcW w:w="1135" w:type="dxa"/>
          </w:tcPr>
          <w:p w14:paraId="1E2D7BF6" w14:textId="77777777" w:rsidR="002E0F7F" w:rsidRPr="005B06AD" w:rsidRDefault="0079706B">
            <w:pPr>
              <w:pStyle w:val="TableParagraph"/>
            </w:pPr>
            <w:r w:rsidRPr="005B06AD">
              <w:rPr>
                <w:w w:val="95"/>
              </w:rPr>
              <w:t>1.7%</w:t>
            </w:r>
          </w:p>
        </w:tc>
        <w:tc>
          <w:tcPr>
            <w:tcW w:w="981" w:type="dxa"/>
            <w:tcBorders>
              <w:right w:val="single" w:sz="4" w:space="0" w:color="000000"/>
            </w:tcBorders>
          </w:tcPr>
          <w:p w14:paraId="51F9501A" w14:textId="77777777" w:rsidR="002E0F7F" w:rsidRPr="005B06AD" w:rsidRDefault="0079706B">
            <w:pPr>
              <w:pStyle w:val="TableParagraph"/>
              <w:ind w:right="94"/>
            </w:pPr>
            <w:r w:rsidRPr="005B06AD">
              <w:rPr>
                <w:w w:val="95"/>
              </w:rPr>
              <w:t>$46,274</w:t>
            </w:r>
          </w:p>
        </w:tc>
      </w:tr>
      <w:tr w:rsidR="005B06AD" w:rsidRPr="005B06AD" w14:paraId="4A80F566" w14:textId="77777777" w:rsidTr="00DB1E83">
        <w:trPr>
          <w:trHeight w:val="330"/>
        </w:trPr>
        <w:tc>
          <w:tcPr>
            <w:tcW w:w="2015" w:type="dxa"/>
            <w:tcBorders>
              <w:left w:val="single" w:sz="4" w:space="0" w:color="000000"/>
            </w:tcBorders>
          </w:tcPr>
          <w:p w14:paraId="0A81E7BF" w14:textId="77777777" w:rsidR="002E0F7F" w:rsidRPr="005B06AD" w:rsidRDefault="0079706B">
            <w:pPr>
              <w:pStyle w:val="TableParagraph"/>
              <w:spacing w:before="10"/>
              <w:ind w:left="107" w:right="0"/>
              <w:jc w:val="left"/>
            </w:pPr>
            <w:r w:rsidRPr="005B06AD">
              <w:t>Indonesia</w:t>
            </w:r>
          </w:p>
        </w:tc>
        <w:tc>
          <w:tcPr>
            <w:tcW w:w="850" w:type="dxa"/>
          </w:tcPr>
          <w:p w14:paraId="34A436D2" w14:textId="77777777" w:rsidR="002E0F7F" w:rsidRPr="005B06AD" w:rsidRDefault="0079706B">
            <w:pPr>
              <w:pStyle w:val="TableParagraph"/>
              <w:spacing w:before="10"/>
            </w:pPr>
            <w:r w:rsidRPr="005B06AD">
              <w:rPr>
                <w:w w:val="95"/>
              </w:rPr>
              <w:t>543</w:t>
            </w:r>
          </w:p>
        </w:tc>
        <w:tc>
          <w:tcPr>
            <w:tcW w:w="1230" w:type="dxa"/>
          </w:tcPr>
          <w:p w14:paraId="1AD7E51E" w14:textId="77777777" w:rsidR="002E0F7F" w:rsidRPr="005B06AD" w:rsidRDefault="0079706B">
            <w:pPr>
              <w:pStyle w:val="TableParagraph"/>
              <w:spacing w:before="10"/>
              <w:ind w:right="100"/>
            </w:pPr>
            <w:r w:rsidRPr="005B06AD">
              <w:t>267</w:t>
            </w:r>
          </w:p>
        </w:tc>
        <w:tc>
          <w:tcPr>
            <w:tcW w:w="1179" w:type="dxa"/>
          </w:tcPr>
          <w:p w14:paraId="677D66AB" w14:textId="77777777" w:rsidR="002E0F7F" w:rsidRPr="005B06AD" w:rsidRDefault="0079706B">
            <w:pPr>
              <w:pStyle w:val="TableParagraph"/>
              <w:spacing w:before="10"/>
            </w:pPr>
            <w:r w:rsidRPr="005B06AD">
              <w:rPr>
                <w:w w:val="95"/>
              </w:rPr>
              <w:t>2.0</w:t>
            </w:r>
          </w:p>
        </w:tc>
        <w:tc>
          <w:tcPr>
            <w:tcW w:w="1135" w:type="dxa"/>
          </w:tcPr>
          <w:p w14:paraId="50D8A5DB" w14:textId="77777777" w:rsidR="002E0F7F" w:rsidRPr="005B06AD" w:rsidRDefault="0079706B">
            <w:pPr>
              <w:pStyle w:val="TableParagraph"/>
              <w:spacing w:before="10"/>
            </w:pPr>
            <w:r w:rsidRPr="005B06AD">
              <w:rPr>
                <w:w w:val="95"/>
              </w:rPr>
              <w:t>1.6%</w:t>
            </w:r>
          </w:p>
        </w:tc>
        <w:tc>
          <w:tcPr>
            <w:tcW w:w="981" w:type="dxa"/>
            <w:tcBorders>
              <w:right w:val="single" w:sz="4" w:space="0" w:color="000000"/>
            </w:tcBorders>
          </w:tcPr>
          <w:p w14:paraId="225FA671" w14:textId="77777777" w:rsidR="002E0F7F" w:rsidRPr="005B06AD" w:rsidRDefault="0079706B">
            <w:pPr>
              <w:pStyle w:val="TableParagraph"/>
              <w:spacing w:before="10"/>
              <w:ind w:right="94"/>
            </w:pPr>
            <w:r w:rsidRPr="005B06AD">
              <w:rPr>
                <w:w w:val="95"/>
              </w:rPr>
              <w:t>$3,898</w:t>
            </w:r>
          </w:p>
        </w:tc>
      </w:tr>
      <w:tr w:rsidR="005B06AD" w:rsidRPr="005B06AD" w14:paraId="323B595B" w14:textId="77777777" w:rsidTr="00DB1E83">
        <w:trPr>
          <w:trHeight w:val="331"/>
        </w:trPr>
        <w:tc>
          <w:tcPr>
            <w:tcW w:w="2015" w:type="dxa"/>
            <w:tcBorders>
              <w:left w:val="single" w:sz="4" w:space="0" w:color="000000"/>
            </w:tcBorders>
          </w:tcPr>
          <w:p w14:paraId="5053144F" w14:textId="77777777" w:rsidR="002E0F7F" w:rsidRPr="005B06AD" w:rsidRDefault="0079706B" w:rsidP="00975AFC">
            <w:pPr>
              <w:pStyle w:val="TableParagraph"/>
              <w:ind w:left="107" w:right="0"/>
              <w:jc w:val="left"/>
            </w:pPr>
            <w:proofErr w:type="spellStart"/>
            <w:r w:rsidRPr="005B06AD">
              <w:t>Me</w:t>
            </w:r>
            <w:r w:rsidR="00975AFC" w:rsidRPr="005B06AD">
              <w:t>ss</w:t>
            </w:r>
            <w:r w:rsidRPr="005B06AD">
              <w:t>ico</w:t>
            </w:r>
            <w:proofErr w:type="spellEnd"/>
          </w:p>
        </w:tc>
        <w:tc>
          <w:tcPr>
            <w:tcW w:w="850" w:type="dxa"/>
          </w:tcPr>
          <w:p w14:paraId="1E3EF4C4" w14:textId="77777777" w:rsidR="002E0F7F" w:rsidRPr="005B06AD" w:rsidRDefault="0079706B">
            <w:pPr>
              <w:pStyle w:val="TableParagraph"/>
            </w:pPr>
            <w:r w:rsidRPr="005B06AD">
              <w:rPr>
                <w:w w:val="95"/>
              </w:rPr>
              <w:t>463</w:t>
            </w:r>
          </w:p>
        </w:tc>
        <w:tc>
          <w:tcPr>
            <w:tcW w:w="1230" w:type="dxa"/>
          </w:tcPr>
          <w:p w14:paraId="7040C36A" w14:textId="77777777" w:rsidR="002E0F7F" w:rsidRPr="005B06AD" w:rsidRDefault="0079706B">
            <w:pPr>
              <w:pStyle w:val="TableParagraph"/>
              <w:ind w:right="100"/>
            </w:pPr>
            <w:r w:rsidRPr="005B06AD">
              <w:t>131</w:t>
            </w:r>
          </w:p>
        </w:tc>
        <w:tc>
          <w:tcPr>
            <w:tcW w:w="1179" w:type="dxa"/>
          </w:tcPr>
          <w:p w14:paraId="7F95ACE5" w14:textId="77777777" w:rsidR="002E0F7F" w:rsidRPr="005B06AD" w:rsidRDefault="0079706B">
            <w:pPr>
              <w:pStyle w:val="TableParagraph"/>
            </w:pPr>
            <w:r w:rsidRPr="005B06AD">
              <w:rPr>
                <w:w w:val="95"/>
              </w:rPr>
              <w:t>3.5</w:t>
            </w:r>
          </w:p>
        </w:tc>
        <w:tc>
          <w:tcPr>
            <w:tcW w:w="1135" w:type="dxa"/>
          </w:tcPr>
          <w:p w14:paraId="2C16C2E8" w14:textId="77777777" w:rsidR="002E0F7F" w:rsidRPr="005B06AD" w:rsidRDefault="0079706B">
            <w:pPr>
              <w:pStyle w:val="TableParagraph"/>
            </w:pPr>
            <w:r w:rsidRPr="005B06AD">
              <w:rPr>
                <w:w w:val="95"/>
              </w:rPr>
              <w:t>1.4%</w:t>
            </w:r>
          </w:p>
        </w:tc>
        <w:tc>
          <w:tcPr>
            <w:tcW w:w="981" w:type="dxa"/>
            <w:tcBorders>
              <w:right w:val="single" w:sz="4" w:space="0" w:color="000000"/>
            </w:tcBorders>
          </w:tcPr>
          <w:p w14:paraId="003FFF8C" w14:textId="77777777" w:rsidR="002E0F7F" w:rsidRPr="005B06AD" w:rsidRDefault="0079706B">
            <w:pPr>
              <w:pStyle w:val="TableParagraph"/>
              <w:ind w:right="94"/>
            </w:pPr>
            <w:r w:rsidRPr="005B06AD">
              <w:rPr>
                <w:w w:val="95"/>
              </w:rPr>
              <w:t>$9,330</w:t>
            </w:r>
          </w:p>
        </w:tc>
      </w:tr>
      <w:tr w:rsidR="005B06AD" w:rsidRPr="005B06AD" w14:paraId="6426D844" w14:textId="77777777" w:rsidTr="00DB1E83">
        <w:trPr>
          <w:trHeight w:val="331"/>
        </w:trPr>
        <w:tc>
          <w:tcPr>
            <w:tcW w:w="2015" w:type="dxa"/>
            <w:tcBorders>
              <w:left w:val="single" w:sz="4" w:space="0" w:color="000000"/>
            </w:tcBorders>
          </w:tcPr>
          <w:p w14:paraId="29DFB414" w14:textId="77777777" w:rsidR="002E0F7F" w:rsidRPr="005B06AD" w:rsidRDefault="00975AFC">
            <w:pPr>
              <w:pStyle w:val="TableParagraph"/>
              <w:ind w:left="107" w:right="0"/>
              <w:jc w:val="left"/>
            </w:pPr>
            <w:proofErr w:type="spellStart"/>
            <w:r w:rsidRPr="005B06AD">
              <w:t>Bras</w:t>
            </w:r>
            <w:r w:rsidR="0079706B" w:rsidRPr="005B06AD">
              <w:t>il</w:t>
            </w:r>
            <w:r w:rsidRPr="005B06AD">
              <w:t>e</w:t>
            </w:r>
            <w:proofErr w:type="spellEnd"/>
          </w:p>
        </w:tc>
        <w:tc>
          <w:tcPr>
            <w:tcW w:w="850" w:type="dxa"/>
          </w:tcPr>
          <w:p w14:paraId="060C3817" w14:textId="77777777" w:rsidR="002E0F7F" w:rsidRPr="005B06AD" w:rsidRDefault="0079706B">
            <w:pPr>
              <w:pStyle w:val="TableParagraph"/>
            </w:pPr>
            <w:r w:rsidRPr="005B06AD">
              <w:rPr>
                <w:w w:val="95"/>
              </w:rPr>
              <w:t>442</w:t>
            </w:r>
          </w:p>
        </w:tc>
        <w:tc>
          <w:tcPr>
            <w:tcW w:w="1230" w:type="dxa"/>
          </w:tcPr>
          <w:p w14:paraId="1DD06F26" w14:textId="77777777" w:rsidR="002E0F7F" w:rsidRPr="005B06AD" w:rsidRDefault="0079706B">
            <w:pPr>
              <w:pStyle w:val="TableParagraph"/>
              <w:ind w:right="100"/>
            </w:pPr>
            <w:r w:rsidRPr="005B06AD">
              <w:t>211</w:t>
            </w:r>
          </w:p>
        </w:tc>
        <w:tc>
          <w:tcPr>
            <w:tcW w:w="1179" w:type="dxa"/>
          </w:tcPr>
          <w:p w14:paraId="6044BF66" w14:textId="77777777" w:rsidR="002E0F7F" w:rsidRPr="005B06AD" w:rsidRDefault="0079706B">
            <w:pPr>
              <w:pStyle w:val="TableParagraph"/>
            </w:pPr>
            <w:r w:rsidRPr="005B06AD">
              <w:rPr>
                <w:w w:val="95"/>
              </w:rPr>
              <w:t>2.1</w:t>
            </w:r>
          </w:p>
        </w:tc>
        <w:tc>
          <w:tcPr>
            <w:tcW w:w="1135" w:type="dxa"/>
          </w:tcPr>
          <w:p w14:paraId="486F878B" w14:textId="77777777" w:rsidR="002E0F7F" w:rsidRPr="005B06AD" w:rsidRDefault="0079706B">
            <w:pPr>
              <w:pStyle w:val="TableParagraph"/>
            </w:pPr>
            <w:r w:rsidRPr="005B06AD">
              <w:rPr>
                <w:w w:val="95"/>
              </w:rPr>
              <w:t>1.3%</w:t>
            </w:r>
          </w:p>
        </w:tc>
        <w:tc>
          <w:tcPr>
            <w:tcW w:w="981" w:type="dxa"/>
            <w:tcBorders>
              <w:right w:val="single" w:sz="4" w:space="0" w:color="000000"/>
            </w:tcBorders>
          </w:tcPr>
          <w:p w14:paraId="79AFB104" w14:textId="77777777" w:rsidR="002E0F7F" w:rsidRPr="005B06AD" w:rsidRDefault="0079706B">
            <w:pPr>
              <w:pStyle w:val="TableParagraph"/>
              <w:ind w:right="94"/>
            </w:pPr>
            <w:r w:rsidRPr="005B06AD">
              <w:rPr>
                <w:w w:val="95"/>
              </w:rPr>
              <w:t>$8,868</w:t>
            </w:r>
          </w:p>
        </w:tc>
      </w:tr>
      <w:tr w:rsidR="005B06AD" w:rsidRPr="005B06AD" w14:paraId="7DA4DFF9" w14:textId="77777777" w:rsidTr="00DB1E83">
        <w:trPr>
          <w:trHeight w:val="331"/>
        </w:trPr>
        <w:tc>
          <w:tcPr>
            <w:tcW w:w="2015" w:type="dxa"/>
            <w:tcBorders>
              <w:left w:val="single" w:sz="4" w:space="0" w:color="000000"/>
            </w:tcBorders>
          </w:tcPr>
          <w:p w14:paraId="4143A59C" w14:textId="77777777" w:rsidR="002E0F7F" w:rsidRPr="005B06AD" w:rsidRDefault="00975AFC">
            <w:pPr>
              <w:pStyle w:val="TableParagraph"/>
              <w:ind w:left="107" w:right="0"/>
              <w:jc w:val="left"/>
            </w:pPr>
            <w:r w:rsidRPr="005B06AD">
              <w:t>Sud</w:t>
            </w:r>
            <w:r w:rsidR="0079706B" w:rsidRPr="005B06AD">
              <w:t xml:space="preserve"> Africa</w:t>
            </w:r>
          </w:p>
        </w:tc>
        <w:tc>
          <w:tcPr>
            <w:tcW w:w="850" w:type="dxa"/>
          </w:tcPr>
          <w:p w14:paraId="5B3523A4" w14:textId="77777777" w:rsidR="002E0F7F" w:rsidRPr="005B06AD" w:rsidRDefault="0079706B">
            <w:pPr>
              <w:pStyle w:val="TableParagraph"/>
            </w:pPr>
            <w:r w:rsidRPr="005B06AD">
              <w:rPr>
                <w:w w:val="95"/>
              </w:rPr>
              <w:t>421</w:t>
            </w:r>
          </w:p>
        </w:tc>
        <w:tc>
          <w:tcPr>
            <w:tcW w:w="1230" w:type="dxa"/>
          </w:tcPr>
          <w:p w14:paraId="20A53FD8" w14:textId="77777777" w:rsidR="002E0F7F" w:rsidRPr="005B06AD" w:rsidRDefault="0079706B">
            <w:pPr>
              <w:pStyle w:val="TableParagraph"/>
              <w:ind w:right="100"/>
            </w:pPr>
            <w:r w:rsidRPr="005B06AD">
              <w:rPr>
                <w:w w:val="95"/>
              </w:rPr>
              <w:t>57</w:t>
            </w:r>
          </w:p>
        </w:tc>
        <w:tc>
          <w:tcPr>
            <w:tcW w:w="1179" w:type="dxa"/>
          </w:tcPr>
          <w:p w14:paraId="7E8EFF35" w14:textId="77777777" w:rsidR="002E0F7F" w:rsidRPr="005B06AD" w:rsidRDefault="0079706B">
            <w:pPr>
              <w:pStyle w:val="TableParagraph"/>
            </w:pPr>
            <w:r w:rsidRPr="005B06AD">
              <w:rPr>
                <w:w w:val="95"/>
              </w:rPr>
              <w:t>7.3</w:t>
            </w:r>
          </w:p>
        </w:tc>
        <w:tc>
          <w:tcPr>
            <w:tcW w:w="1135" w:type="dxa"/>
          </w:tcPr>
          <w:p w14:paraId="4EE187DE" w14:textId="77777777" w:rsidR="002E0F7F" w:rsidRPr="005B06AD" w:rsidRDefault="0079706B">
            <w:pPr>
              <w:pStyle w:val="TableParagraph"/>
            </w:pPr>
            <w:r w:rsidRPr="005B06AD">
              <w:rPr>
                <w:w w:val="95"/>
              </w:rPr>
              <w:t>1.3%</w:t>
            </w:r>
          </w:p>
        </w:tc>
        <w:tc>
          <w:tcPr>
            <w:tcW w:w="981" w:type="dxa"/>
            <w:tcBorders>
              <w:right w:val="single" w:sz="4" w:space="0" w:color="000000"/>
            </w:tcBorders>
          </w:tcPr>
          <w:p w14:paraId="3D2633FA" w14:textId="77777777" w:rsidR="002E0F7F" w:rsidRPr="005B06AD" w:rsidRDefault="0079706B">
            <w:pPr>
              <w:pStyle w:val="TableParagraph"/>
              <w:ind w:right="94"/>
            </w:pPr>
            <w:r w:rsidRPr="005B06AD">
              <w:rPr>
                <w:w w:val="95"/>
              </w:rPr>
              <w:t>$6,376</w:t>
            </w:r>
          </w:p>
        </w:tc>
      </w:tr>
      <w:tr w:rsidR="005B06AD" w:rsidRPr="005B06AD" w14:paraId="40BB0262" w14:textId="77777777" w:rsidTr="00DB1E83">
        <w:trPr>
          <w:trHeight w:val="331"/>
        </w:trPr>
        <w:tc>
          <w:tcPr>
            <w:tcW w:w="2015" w:type="dxa"/>
            <w:tcBorders>
              <w:left w:val="single" w:sz="4" w:space="0" w:color="000000"/>
            </w:tcBorders>
          </w:tcPr>
          <w:p w14:paraId="393151B6" w14:textId="77777777" w:rsidR="002E0F7F" w:rsidRPr="005B06AD" w:rsidRDefault="0079706B">
            <w:pPr>
              <w:pStyle w:val="TableParagraph"/>
              <w:ind w:left="107" w:right="0"/>
              <w:jc w:val="left"/>
            </w:pPr>
            <w:r w:rsidRPr="005B06AD">
              <w:t>Australia</w:t>
            </w:r>
          </w:p>
        </w:tc>
        <w:tc>
          <w:tcPr>
            <w:tcW w:w="850" w:type="dxa"/>
          </w:tcPr>
          <w:p w14:paraId="34188F81" w14:textId="77777777" w:rsidR="002E0F7F" w:rsidRPr="005B06AD" w:rsidRDefault="0079706B">
            <w:pPr>
              <w:pStyle w:val="TableParagraph"/>
            </w:pPr>
            <w:r w:rsidRPr="005B06AD">
              <w:rPr>
                <w:w w:val="95"/>
              </w:rPr>
              <w:t>417</w:t>
            </w:r>
          </w:p>
        </w:tc>
        <w:tc>
          <w:tcPr>
            <w:tcW w:w="1230" w:type="dxa"/>
          </w:tcPr>
          <w:p w14:paraId="2D462048" w14:textId="77777777" w:rsidR="002E0F7F" w:rsidRPr="005B06AD" w:rsidRDefault="0079706B">
            <w:pPr>
              <w:pStyle w:val="TableParagraph"/>
              <w:ind w:right="100"/>
            </w:pPr>
            <w:r w:rsidRPr="005B06AD">
              <w:rPr>
                <w:w w:val="95"/>
              </w:rPr>
              <w:t>25</w:t>
            </w:r>
          </w:p>
        </w:tc>
        <w:tc>
          <w:tcPr>
            <w:tcW w:w="1179" w:type="dxa"/>
          </w:tcPr>
          <w:p w14:paraId="76512A84" w14:textId="77777777" w:rsidR="002E0F7F" w:rsidRPr="005B06AD" w:rsidRDefault="0079706B">
            <w:pPr>
              <w:pStyle w:val="TableParagraph"/>
            </w:pPr>
            <w:r w:rsidRPr="005B06AD">
              <w:rPr>
                <w:w w:val="95"/>
              </w:rPr>
              <w:t>16.8</w:t>
            </w:r>
          </w:p>
        </w:tc>
        <w:tc>
          <w:tcPr>
            <w:tcW w:w="1135" w:type="dxa"/>
          </w:tcPr>
          <w:p w14:paraId="22D90B48" w14:textId="77777777" w:rsidR="002E0F7F" w:rsidRPr="005B06AD" w:rsidRDefault="0079706B">
            <w:pPr>
              <w:pStyle w:val="TableParagraph"/>
            </w:pPr>
            <w:r w:rsidRPr="005B06AD">
              <w:rPr>
                <w:w w:val="95"/>
              </w:rPr>
              <w:t>1.3%</w:t>
            </w:r>
          </w:p>
        </w:tc>
        <w:tc>
          <w:tcPr>
            <w:tcW w:w="981" w:type="dxa"/>
            <w:tcBorders>
              <w:right w:val="single" w:sz="4" w:space="0" w:color="000000"/>
            </w:tcBorders>
          </w:tcPr>
          <w:p w14:paraId="7B929069" w14:textId="77777777" w:rsidR="002E0F7F" w:rsidRPr="005B06AD" w:rsidRDefault="0079706B">
            <w:pPr>
              <w:pStyle w:val="TableParagraph"/>
              <w:ind w:right="94"/>
            </w:pPr>
            <w:r w:rsidRPr="005B06AD">
              <w:rPr>
                <w:w w:val="95"/>
              </w:rPr>
              <w:t>$57,726</w:t>
            </w:r>
          </w:p>
        </w:tc>
      </w:tr>
      <w:tr w:rsidR="005B06AD" w:rsidRPr="005B06AD" w14:paraId="469C513E" w14:textId="77777777" w:rsidTr="00DB1E83">
        <w:trPr>
          <w:trHeight w:val="330"/>
        </w:trPr>
        <w:tc>
          <w:tcPr>
            <w:tcW w:w="2015" w:type="dxa"/>
            <w:tcBorders>
              <w:left w:val="single" w:sz="4" w:space="0" w:color="000000"/>
            </w:tcBorders>
          </w:tcPr>
          <w:p w14:paraId="6157355A" w14:textId="77777777" w:rsidR="002E0F7F" w:rsidRPr="005B06AD" w:rsidRDefault="0079706B" w:rsidP="00975AFC">
            <w:pPr>
              <w:pStyle w:val="TableParagraph"/>
              <w:ind w:left="107" w:right="0"/>
              <w:jc w:val="left"/>
            </w:pPr>
            <w:proofErr w:type="spellStart"/>
            <w:r w:rsidRPr="005B06AD">
              <w:t>Tur</w:t>
            </w:r>
            <w:r w:rsidR="00975AFC" w:rsidRPr="005B06AD">
              <w:t>chia</w:t>
            </w:r>
            <w:proofErr w:type="spellEnd"/>
          </w:p>
        </w:tc>
        <w:tc>
          <w:tcPr>
            <w:tcW w:w="850" w:type="dxa"/>
          </w:tcPr>
          <w:p w14:paraId="69A6B009" w14:textId="77777777" w:rsidR="002E0F7F" w:rsidRPr="005B06AD" w:rsidRDefault="0079706B">
            <w:pPr>
              <w:pStyle w:val="TableParagraph"/>
            </w:pPr>
            <w:r w:rsidRPr="005B06AD">
              <w:rPr>
                <w:w w:val="95"/>
              </w:rPr>
              <w:t>390</w:t>
            </w:r>
          </w:p>
        </w:tc>
        <w:tc>
          <w:tcPr>
            <w:tcW w:w="1230" w:type="dxa"/>
          </w:tcPr>
          <w:p w14:paraId="3ABC2A27" w14:textId="77777777" w:rsidR="002E0F7F" w:rsidRPr="005B06AD" w:rsidRDefault="0079706B">
            <w:pPr>
              <w:pStyle w:val="TableParagraph"/>
              <w:ind w:right="100"/>
            </w:pPr>
            <w:r w:rsidRPr="005B06AD">
              <w:rPr>
                <w:w w:val="95"/>
              </w:rPr>
              <w:t>82</w:t>
            </w:r>
          </w:p>
        </w:tc>
        <w:tc>
          <w:tcPr>
            <w:tcW w:w="1179" w:type="dxa"/>
          </w:tcPr>
          <w:p w14:paraId="5FA9EEAF" w14:textId="77777777" w:rsidR="002E0F7F" w:rsidRPr="005B06AD" w:rsidRDefault="0079706B">
            <w:pPr>
              <w:pStyle w:val="TableParagraph"/>
            </w:pPr>
            <w:r w:rsidRPr="005B06AD">
              <w:rPr>
                <w:w w:val="95"/>
              </w:rPr>
              <w:t>4.8</w:t>
            </w:r>
          </w:p>
        </w:tc>
        <w:tc>
          <w:tcPr>
            <w:tcW w:w="1135" w:type="dxa"/>
          </w:tcPr>
          <w:p w14:paraId="1536AB95" w14:textId="77777777" w:rsidR="002E0F7F" w:rsidRPr="005B06AD" w:rsidRDefault="0079706B">
            <w:pPr>
              <w:pStyle w:val="TableParagraph"/>
            </w:pPr>
            <w:r w:rsidRPr="005B06AD">
              <w:rPr>
                <w:w w:val="95"/>
              </w:rPr>
              <w:t>1.2%</w:t>
            </w:r>
          </w:p>
        </w:tc>
        <w:tc>
          <w:tcPr>
            <w:tcW w:w="981" w:type="dxa"/>
            <w:tcBorders>
              <w:right w:val="single" w:sz="4" w:space="0" w:color="000000"/>
            </w:tcBorders>
          </w:tcPr>
          <w:p w14:paraId="6D613E34" w14:textId="77777777" w:rsidR="002E0F7F" w:rsidRPr="005B06AD" w:rsidRDefault="0079706B">
            <w:pPr>
              <w:pStyle w:val="TableParagraph"/>
              <w:ind w:right="94"/>
            </w:pPr>
            <w:r w:rsidRPr="005B06AD">
              <w:rPr>
                <w:w w:val="95"/>
              </w:rPr>
              <w:t>$9,363</w:t>
            </w:r>
          </w:p>
        </w:tc>
      </w:tr>
      <w:tr w:rsidR="005B06AD" w:rsidRPr="005B06AD" w14:paraId="56FD5660" w14:textId="77777777" w:rsidTr="00DB1E83">
        <w:trPr>
          <w:trHeight w:val="330"/>
        </w:trPr>
        <w:tc>
          <w:tcPr>
            <w:tcW w:w="2015" w:type="dxa"/>
            <w:tcBorders>
              <w:left w:val="single" w:sz="4" w:space="0" w:color="000000"/>
            </w:tcBorders>
          </w:tcPr>
          <w:p w14:paraId="75E59734" w14:textId="77777777" w:rsidR="002E0F7F" w:rsidRPr="005B06AD" w:rsidRDefault="0079706B">
            <w:pPr>
              <w:pStyle w:val="TableParagraph"/>
              <w:spacing w:before="10"/>
              <w:ind w:left="107" w:right="0"/>
              <w:jc w:val="left"/>
            </w:pPr>
            <w:proofErr w:type="spellStart"/>
            <w:r w:rsidRPr="005B06AD">
              <w:t>Thailand</w:t>
            </w:r>
            <w:r w:rsidR="00975AFC" w:rsidRPr="005B06AD">
              <w:t>ia</w:t>
            </w:r>
            <w:proofErr w:type="spellEnd"/>
          </w:p>
        </w:tc>
        <w:tc>
          <w:tcPr>
            <w:tcW w:w="850" w:type="dxa"/>
          </w:tcPr>
          <w:p w14:paraId="03E6A460" w14:textId="77777777" w:rsidR="002E0F7F" w:rsidRPr="005B06AD" w:rsidRDefault="0079706B">
            <w:pPr>
              <w:pStyle w:val="TableParagraph"/>
              <w:spacing w:before="10"/>
            </w:pPr>
            <w:r w:rsidRPr="005B06AD">
              <w:rPr>
                <w:w w:val="95"/>
              </w:rPr>
              <w:t>302</w:t>
            </w:r>
          </w:p>
        </w:tc>
        <w:tc>
          <w:tcPr>
            <w:tcW w:w="1230" w:type="dxa"/>
          </w:tcPr>
          <w:p w14:paraId="423C9B5E" w14:textId="77777777" w:rsidR="002E0F7F" w:rsidRPr="005B06AD" w:rsidRDefault="0079706B">
            <w:pPr>
              <w:pStyle w:val="TableParagraph"/>
              <w:spacing w:before="10"/>
              <w:ind w:right="100"/>
            </w:pPr>
            <w:r w:rsidRPr="005B06AD">
              <w:rPr>
                <w:w w:val="95"/>
              </w:rPr>
              <w:t>69</w:t>
            </w:r>
          </w:p>
        </w:tc>
        <w:tc>
          <w:tcPr>
            <w:tcW w:w="1179" w:type="dxa"/>
          </w:tcPr>
          <w:p w14:paraId="2A212A3C" w14:textId="77777777" w:rsidR="002E0F7F" w:rsidRPr="005B06AD" w:rsidRDefault="0079706B">
            <w:pPr>
              <w:pStyle w:val="TableParagraph"/>
              <w:spacing w:before="10"/>
            </w:pPr>
            <w:r w:rsidRPr="005B06AD">
              <w:rPr>
                <w:w w:val="95"/>
              </w:rPr>
              <w:t>4.4</w:t>
            </w:r>
          </w:p>
        </w:tc>
        <w:tc>
          <w:tcPr>
            <w:tcW w:w="1135" w:type="dxa"/>
          </w:tcPr>
          <w:p w14:paraId="555E0567" w14:textId="77777777" w:rsidR="002E0F7F" w:rsidRPr="005B06AD" w:rsidRDefault="0079706B">
            <w:pPr>
              <w:pStyle w:val="TableParagraph"/>
              <w:spacing w:before="10"/>
            </w:pPr>
            <w:r w:rsidRPr="005B06AD">
              <w:rPr>
                <w:w w:val="95"/>
              </w:rPr>
              <w:t>0.9%</w:t>
            </w:r>
          </w:p>
        </w:tc>
        <w:tc>
          <w:tcPr>
            <w:tcW w:w="981" w:type="dxa"/>
            <w:tcBorders>
              <w:right w:val="single" w:sz="4" w:space="0" w:color="000000"/>
            </w:tcBorders>
          </w:tcPr>
          <w:p w14:paraId="130236CF" w14:textId="77777777" w:rsidR="002E0F7F" w:rsidRPr="005B06AD" w:rsidRDefault="0079706B">
            <w:pPr>
              <w:pStyle w:val="TableParagraph"/>
              <w:spacing w:before="10"/>
              <w:ind w:right="94"/>
            </w:pPr>
            <w:r w:rsidRPr="005B06AD">
              <w:rPr>
                <w:w w:val="95"/>
              </w:rPr>
              <w:t>$7,299</w:t>
            </w:r>
          </w:p>
        </w:tc>
      </w:tr>
      <w:tr w:rsidR="005B06AD" w:rsidRPr="005B06AD" w14:paraId="77FF62CB" w14:textId="77777777" w:rsidTr="00DB1E83">
        <w:trPr>
          <w:trHeight w:val="331"/>
        </w:trPr>
        <w:tc>
          <w:tcPr>
            <w:tcW w:w="2015" w:type="dxa"/>
            <w:tcBorders>
              <w:left w:val="single" w:sz="4" w:space="0" w:color="000000"/>
            </w:tcBorders>
          </w:tcPr>
          <w:p w14:paraId="4FE77D09" w14:textId="77777777" w:rsidR="002E0F7F" w:rsidRPr="005B06AD" w:rsidRDefault="00975AFC" w:rsidP="00975AFC">
            <w:pPr>
              <w:pStyle w:val="TableParagraph"/>
              <w:ind w:left="107" w:right="0"/>
              <w:jc w:val="left"/>
            </w:pPr>
            <w:r w:rsidRPr="005B06AD">
              <w:t xml:space="preserve">Emirati Arabi </w:t>
            </w:r>
            <w:proofErr w:type="spellStart"/>
            <w:r w:rsidR="0079706B" w:rsidRPr="005B06AD">
              <w:t>Unit</w:t>
            </w:r>
            <w:r w:rsidRPr="005B06AD">
              <w:t>i</w:t>
            </w:r>
            <w:proofErr w:type="spellEnd"/>
            <w:r w:rsidR="0079706B" w:rsidRPr="005B06AD">
              <w:t xml:space="preserve"> </w:t>
            </w:r>
          </w:p>
        </w:tc>
        <w:tc>
          <w:tcPr>
            <w:tcW w:w="850" w:type="dxa"/>
          </w:tcPr>
          <w:p w14:paraId="7EB4AC24" w14:textId="77777777" w:rsidR="002E0F7F" w:rsidRPr="005B06AD" w:rsidRDefault="0079706B">
            <w:pPr>
              <w:pStyle w:val="TableParagraph"/>
            </w:pPr>
            <w:r w:rsidRPr="005B06AD">
              <w:rPr>
                <w:w w:val="95"/>
              </w:rPr>
              <w:t>277</w:t>
            </w:r>
          </w:p>
        </w:tc>
        <w:tc>
          <w:tcPr>
            <w:tcW w:w="1230" w:type="dxa"/>
          </w:tcPr>
          <w:p w14:paraId="743CD42A" w14:textId="77777777" w:rsidR="002E0F7F" w:rsidRPr="005B06AD" w:rsidRDefault="0079706B">
            <w:pPr>
              <w:pStyle w:val="TableParagraph"/>
              <w:ind w:right="100"/>
            </w:pPr>
            <w:r w:rsidRPr="005B06AD">
              <w:rPr>
                <w:w w:val="95"/>
              </w:rPr>
              <w:t>10</w:t>
            </w:r>
          </w:p>
        </w:tc>
        <w:tc>
          <w:tcPr>
            <w:tcW w:w="1179" w:type="dxa"/>
          </w:tcPr>
          <w:p w14:paraId="5CA44F75" w14:textId="77777777" w:rsidR="002E0F7F" w:rsidRPr="005B06AD" w:rsidRDefault="0079706B">
            <w:pPr>
              <w:pStyle w:val="TableParagraph"/>
            </w:pPr>
            <w:r w:rsidRPr="005B06AD">
              <w:rPr>
                <w:w w:val="95"/>
              </w:rPr>
              <w:t>29.0</w:t>
            </w:r>
          </w:p>
        </w:tc>
        <w:tc>
          <w:tcPr>
            <w:tcW w:w="1135" w:type="dxa"/>
          </w:tcPr>
          <w:p w14:paraId="2689339E" w14:textId="77777777" w:rsidR="002E0F7F" w:rsidRPr="005B06AD" w:rsidRDefault="0079706B">
            <w:pPr>
              <w:pStyle w:val="TableParagraph"/>
            </w:pPr>
            <w:r w:rsidRPr="005B06AD">
              <w:rPr>
                <w:w w:val="95"/>
              </w:rPr>
              <w:t>0.8%</w:t>
            </w:r>
          </w:p>
        </w:tc>
        <w:tc>
          <w:tcPr>
            <w:tcW w:w="981" w:type="dxa"/>
            <w:tcBorders>
              <w:right w:val="single" w:sz="4" w:space="0" w:color="000000"/>
            </w:tcBorders>
          </w:tcPr>
          <w:p w14:paraId="788DEE64" w14:textId="77777777" w:rsidR="002E0F7F" w:rsidRPr="005B06AD" w:rsidRDefault="0079706B">
            <w:pPr>
              <w:pStyle w:val="TableParagraph"/>
              <w:ind w:right="94"/>
            </w:pPr>
            <w:r w:rsidRPr="005B06AD">
              <w:rPr>
                <w:w w:val="95"/>
              </w:rPr>
              <w:t>$43,389</w:t>
            </w:r>
          </w:p>
        </w:tc>
      </w:tr>
      <w:tr w:rsidR="005B06AD" w:rsidRPr="005B06AD" w14:paraId="42DBB3C5" w14:textId="77777777" w:rsidTr="00DB1E83">
        <w:trPr>
          <w:trHeight w:val="331"/>
        </w:trPr>
        <w:tc>
          <w:tcPr>
            <w:tcW w:w="2015" w:type="dxa"/>
            <w:tcBorders>
              <w:left w:val="single" w:sz="4" w:space="0" w:color="000000"/>
            </w:tcBorders>
          </w:tcPr>
          <w:p w14:paraId="1B7DF850" w14:textId="77777777" w:rsidR="002E0F7F" w:rsidRPr="005B06AD" w:rsidRDefault="0079706B" w:rsidP="00975AFC">
            <w:pPr>
              <w:pStyle w:val="TableParagraph"/>
              <w:ind w:left="107" w:right="0"/>
              <w:jc w:val="left"/>
            </w:pPr>
            <w:r w:rsidRPr="005B06AD">
              <w:t>Mal</w:t>
            </w:r>
            <w:r w:rsidR="00975AFC" w:rsidRPr="005B06AD">
              <w:t>e</w:t>
            </w:r>
            <w:r w:rsidRPr="005B06AD">
              <w:t>sia</w:t>
            </w:r>
          </w:p>
        </w:tc>
        <w:tc>
          <w:tcPr>
            <w:tcW w:w="850" w:type="dxa"/>
          </w:tcPr>
          <w:p w14:paraId="4AABE490" w14:textId="77777777" w:rsidR="002E0F7F" w:rsidRPr="005B06AD" w:rsidRDefault="0079706B">
            <w:pPr>
              <w:pStyle w:val="TableParagraph"/>
            </w:pPr>
            <w:r w:rsidRPr="005B06AD">
              <w:rPr>
                <w:w w:val="95"/>
              </w:rPr>
              <w:t>250</w:t>
            </w:r>
          </w:p>
        </w:tc>
        <w:tc>
          <w:tcPr>
            <w:tcW w:w="1230" w:type="dxa"/>
          </w:tcPr>
          <w:p w14:paraId="3F6C3770" w14:textId="77777777" w:rsidR="002E0F7F" w:rsidRPr="005B06AD" w:rsidRDefault="0079706B">
            <w:pPr>
              <w:pStyle w:val="TableParagraph"/>
              <w:ind w:right="100"/>
            </w:pPr>
            <w:r w:rsidRPr="005B06AD">
              <w:rPr>
                <w:w w:val="95"/>
              </w:rPr>
              <w:t>32</w:t>
            </w:r>
          </w:p>
        </w:tc>
        <w:tc>
          <w:tcPr>
            <w:tcW w:w="1179" w:type="dxa"/>
          </w:tcPr>
          <w:p w14:paraId="35979656" w14:textId="77777777" w:rsidR="002E0F7F" w:rsidRPr="005B06AD" w:rsidRDefault="0079706B">
            <w:pPr>
              <w:pStyle w:val="TableParagraph"/>
            </w:pPr>
            <w:r w:rsidRPr="005B06AD">
              <w:rPr>
                <w:w w:val="95"/>
              </w:rPr>
              <w:t>7.8</w:t>
            </w:r>
          </w:p>
        </w:tc>
        <w:tc>
          <w:tcPr>
            <w:tcW w:w="1135" w:type="dxa"/>
          </w:tcPr>
          <w:p w14:paraId="136F2222" w14:textId="77777777" w:rsidR="002E0F7F" w:rsidRPr="005B06AD" w:rsidRDefault="0079706B">
            <w:pPr>
              <w:pStyle w:val="TableParagraph"/>
            </w:pPr>
            <w:r w:rsidRPr="005B06AD">
              <w:rPr>
                <w:w w:val="95"/>
              </w:rPr>
              <w:t>0.8%</w:t>
            </w:r>
          </w:p>
        </w:tc>
        <w:tc>
          <w:tcPr>
            <w:tcW w:w="981" w:type="dxa"/>
            <w:tcBorders>
              <w:right w:val="single" w:sz="4" w:space="0" w:color="000000"/>
            </w:tcBorders>
          </w:tcPr>
          <w:p w14:paraId="297D315E" w14:textId="77777777" w:rsidR="002E0F7F" w:rsidRPr="005B06AD" w:rsidRDefault="0079706B">
            <w:pPr>
              <w:pStyle w:val="TableParagraph"/>
              <w:ind w:right="94"/>
            </w:pPr>
            <w:r w:rsidRPr="005B06AD">
              <w:rPr>
                <w:w w:val="95"/>
              </w:rPr>
              <w:t>$11,048</w:t>
            </w:r>
          </w:p>
        </w:tc>
      </w:tr>
      <w:tr w:rsidR="005B06AD" w:rsidRPr="005B06AD" w14:paraId="0CC3FED3" w14:textId="77777777" w:rsidTr="00DB1E83">
        <w:trPr>
          <w:trHeight w:val="331"/>
        </w:trPr>
        <w:tc>
          <w:tcPr>
            <w:tcW w:w="2015" w:type="dxa"/>
            <w:tcBorders>
              <w:left w:val="single" w:sz="4" w:space="0" w:color="000000"/>
            </w:tcBorders>
          </w:tcPr>
          <w:p w14:paraId="018C777E" w14:textId="77777777" w:rsidR="002E0F7F" w:rsidRPr="005B06AD" w:rsidRDefault="0079706B">
            <w:pPr>
              <w:pStyle w:val="TableParagraph"/>
              <w:ind w:left="107" w:right="0"/>
              <w:jc w:val="left"/>
            </w:pPr>
            <w:r w:rsidRPr="005B06AD">
              <w:t>Kazakhstan</w:t>
            </w:r>
          </w:p>
        </w:tc>
        <w:tc>
          <w:tcPr>
            <w:tcW w:w="850" w:type="dxa"/>
          </w:tcPr>
          <w:p w14:paraId="04D0D7F9" w14:textId="77777777" w:rsidR="002E0F7F" w:rsidRPr="005B06AD" w:rsidRDefault="0079706B">
            <w:pPr>
              <w:pStyle w:val="TableParagraph"/>
            </w:pPr>
            <w:r w:rsidRPr="005B06AD">
              <w:rPr>
                <w:w w:val="95"/>
              </w:rPr>
              <w:t>248</w:t>
            </w:r>
          </w:p>
        </w:tc>
        <w:tc>
          <w:tcPr>
            <w:tcW w:w="1230" w:type="dxa"/>
          </w:tcPr>
          <w:p w14:paraId="5AFA0B9A" w14:textId="77777777" w:rsidR="002E0F7F" w:rsidRPr="005B06AD" w:rsidRDefault="0079706B">
            <w:pPr>
              <w:pStyle w:val="TableParagraph"/>
              <w:ind w:right="100"/>
            </w:pPr>
            <w:r w:rsidRPr="005B06AD">
              <w:rPr>
                <w:w w:val="95"/>
              </w:rPr>
              <w:t>18</w:t>
            </w:r>
          </w:p>
        </w:tc>
        <w:tc>
          <w:tcPr>
            <w:tcW w:w="1179" w:type="dxa"/>
          </w:tcPr>
          <w:p w14:paraId="459BF55C" w14:textId="77777777" w:rsidR="002E0F7F" w:rsidRPr="005B06AD" w:rsidRDefault="0079706B">
            <w:pPr>
              <w:pStyle w:val="TableParagraph"/>
            </w:pPr>
            <w:r w:rsidRPr="005B06AD">
              <w:rPr>
                <w:w w:val="95"/>
              </w:rPr>
              <w:t>13.5</w:t>
            </w:r>
          </w:p>
        </w:tc>
        <w:tc>
          <w:tcPr>
            <w:tcW w:w="1135" w:type="dxa"/>
          </w:tcPr>
          <w:p w14:paraId="0B209FEB" w14:textId="77777777" w:rsidR="002E0F7F" w:rsidRPr="005B06AD" w:rsidRDefault="0079706B">
            <w:pPr>
              <w:pStyle w:val="TableParagraph"/>
            </w:pPr>
            <w:r w:rsidRPr="005B06AD">
              <w:rPr>
                <w:w w:val="95"/>
              </w:rPr>
              <w:t>0.7%</w:t>
            </w:r>
          </w:p>
        </w:tc>
        <w:tc>
          <w:tcPr>
            <w:tcW w:w="981" w:type="dxa"/>
            <w:tcBorders>
              <w:right w:val="single" w:sz="4" w:space="0" w:color="000000"/>
            </w:tcBorders>
          </w:tcPr>
          <w:p w14:paraId="7DA3B782" w14:textId="77777777" w:rsidR="002E0F7F" w:rsidRPr="005B06AD" w:rsidRDefault="0079706B">
            <w:pPr>
              <w:pStyle w:val="TableParagraph"/>
              <w:ind w:right="94"/>
            </w:pPr>
            <w:r w:rsidRPr="005B06AD">
              <w:rPr>
                <w:w w:val="95"/>
              </w:rPr>
              <w:t>$9,292</w:t>
            </w:r>
          </w:p>
        </w:tc>
      </w:tr>
      <w:tr w:rsidR="005B06AD" w:rsidRPr="005B06AD" w14:paraId="05FFBDFA" w14:textId="77777777" w:rsidTr="00DB1E83">
        <w:trPr>
          <w:trHeight w:val="331"/>
        </w:trPr>
        <w:tc>
          <w:tcPr>
            <w:tcW w:w="2015" w:type="dxa"/>
            <w:tcBorders>
              <w:left w:val="single" w:sz="4" w:space="0" w:color="000000"/>
            </w:tcBorders>
          </w:tcPr>
          <w:p w14:paraId="56139D39" w14:textId="77777777" w:rsidR="002E0F7F" w:rsidRPr="005B06AD" w:rsidRDefault="0079706B">
            <w:pPr>
              <w:pStyle w:val="TableParagraph"/>
              <w:ind w:left="107" w:right="0"/>
              <w:jc w:val="left"/>
            </w:pPr>
            <w:r w:rsidRPr="005B06AD">
              <w:t>Singapore</w:t>
            </w:r>
          </w:p>
        </w:tc>
        <w:tc>
          <w:tcPr>
            <w:tcW w:w="850" w:type="dxa"/>
          </w:tcPr>
          <w:p w14:paraId="498372DE" w14:textId="77777777" w:rsidR="002E0F7F" w:rsidRPr="005B06AD" w:rsidRDefault="0079706B">
            <w:pPr>
              <w:pStyle w:val="TableParagraph"/>
            </w:pPr>
            <w:r w:rsidRPr="005B06AD">
              <w:rPr>
                <w:w w:val="95"/>
              </w:rPr>
              <w:t>230</w:t>
            </w:r>
          </w:p>
        </w:tc>
        <w:tc>
          <w:tcPr>
            <w:tcW w:w="1230" w:type="dxa"/>
          </w:tcPr>
          <w:p w14:paraId="52DA7C59" w14:textId="77777777" w:rsidR="002E0F7F" w:rsidRPr="005B06AD" w:rsidRDefault="0079706B">
            <w:pPr>
              <w:pStyle w:val="TableParagraph"/>
              <w:ind w:right="100"/>
            </w:pPr>
            <w:r w:rsidRPr="005B06AD">
              <w:rPr>
                <w:w w:val="99"/>
              </w:rPr>
              <w:t>6</w:t>
            </w:r>
          </w:p>
        </w:tc>
        <w:tc>
          <w:tcPr>
            <w:tcW w:w="1179" w:type="dxa"/>
          </w:tcPr>
          <w:p w14:paraId="22E14A09" w14:textId="77777777" w:rsidR="002E0F7F" w:rsidRPr="005B06AD" w:rsidRDefault="0079706B">
            <w:pPr>
              <w:pStyle w:val="TableParagraph"/>
            </w:pPr>
            <w:r w:rsidRPr="005B06AD">
              <w:rPr>
                <w:w w:val="95"/>
              </w:rPr>
              <w:t>39.7</w:t>
            </w:r>
          </w:p>
        </w:tc>
        <w:tc>
          <w:tcPr>
            <w:tcW w:w="1135" w:type="dxa"/>
          </w:tcPr>
          <w:p w14:paraId="37E1FDBB" w14:textId="77777777" w:rsidR="002E0F7F" w:rsidRPr="005B06AD" w:rsidRDefault="0079706B">
            <w:pPr>
              <w:pStyle w:val="TableParagraph"/>
            </w:pPr>
            <w:r w:rsidRPr="005B06AD">
              <w:rPr>
                <w:w w:val="95"/>
              </w:rPr>
              <w:t>0.7%</w:t>
            </w:r>
          </w:p>
        </w:tc>
        <w:tc>
          <w:tcPr>
            <w:tcW w:w="981" w:type="dxa"/>
            <w:tcBorders>
              <w:right w:val="single" w:sz="4" w:space="0" w:color="000000"/>
            </w:tcBorders>
          </w:tcPr>
          <w:p w14:paraId="73CFCD31" w14:textId="77777777" w:rsidR="002E0F7F" w:rsidRPr="005B06AD" w:rsidRDefault="0079706B">
            <w:pPr>
              <w:pStyle w:val="TableParagraph"/>
              <w:ind w:right="94"/>
            </w:pPr>
            <w:r w:rsidRPr="005B06AD">
              <w:rPr>
                <w:w w:val="95"/>
              </w:rPr>
              <w:t>$62,846</w:t>
            </w:r>
          </w:p>
        </w:tc>
      </w:tr>
      <w:tr w:rsidR="005B06AD" w:rsidRPr="005B06AD" w14:paraId="77BF1F60" w14:textId="77777777" w:rsidTr="00DB1E83">
        <w:trPr>
          <w:trHeight w:val="330"/>
        </w:trPr>
        <w:tc>
          <w:tcPr>
            <w:tcW w:w="2015" w:type="dxa"/>
            <w:tcBorders>
              <w:left w:val="single" w:sz="4" w:space="0" w:color="000000"/>
            </w:tcBorders>
          </w:tcPr>
          <w:p w14:paraId="3F27C5F6" w14:textId="77777777" w:rsidR="002E0F7F" w:rsidRPr="005B06AD" w:rsidRDefault="0079706B">
            <w:pPr>
              <w:pStyle w:val="TableParagraph"/>
              <w:ind w:left="107" w:right="0"/>
              <w:jc w:val="left"/>
            </w:pPr>
            <w:r w:rsidRPr="005B06AD">
              <w:t>Vietnam</w:t>
            </w:r>
          </w:p>
        </w:tc>
        <w:tc>
          <w:tcPr>
            <w:tcW w:w="850" w:type="dxa"/>
          </w:tcPr>
          <w:p w14:paraId="73E2334C" w14:textId="77777777" w:rsidR="002E0F7F" w:rsidRPr="005B06AD" w:rsidRDefault="0079706B">
            <w:pPr>
              <w:pStyle w:val="TableParagraph"/>
            </w:pPr>
            <w:r w:rsidRPr="005B06AD">
              <w:rPr>
                <w:w w:val="95"/>
              </w:rPr>
              <w:t>225</w:t>
            </w:r>
          </w:p>
        </w:tc>
        <w:tc>
          <w:tcPr>
            <w:tcW w:w="1230" w:type="dxa"/>
          </w:tcPr>
          <w:p w14:paraId="47D6EF02" w14:textId="77777777" w:rsidR="002E0F7F" w:rsidRPr="005B06AD" w:rsidRDefault="0079706B">
            <w:pPr>
              <w:pStyle w:val="TableParagraph"/>
              <w:ind w:right="100"/>
            </w:pPr>
            <w:r w:rsidRPr="005B06AD">
              <w:rPr>
                <w:w w:val="95"/>
              </w:rPr>
              <w:t>96</w:t>
            </w:r>
          </w:p>
        </w:tc>
        <w:tc>
          <w:tcPr>
            <w:tcW w:w="1179" w:type="dxa"/>
          </w:tcPr>
          <w:p w14:paraId="1B9BF812" w14:textId="77777777" w:rsidR="002E0F7F" w:rsidRPr="005B06AD" w:rsidRDefault="0079706B">
            <w:pPr>
              <w:pStyle w:val="TableParagraph"/>
            </w:pPr>
            <w:r w:rsidRPr="005B06AD">
              <w:rPr>
                <w:w w:val="95"/>
              </w:rPr>
              <w:t>2.3</w:t>
            </w:r>
          </w:p>
        </w:tc>
        <w:tc>
          <w:tcPr>
            <w:tcW w:w="1135" w:type="dxa"/>
          </w:tcPr>
          <w:p w14:paraId="498883EF" w14:textId="77777777" w:rsidR="002E0F7F" w:rsidRPr="005B06AD" w:rsidRDefault="0079706B">
            <w:pPr>
              <w:pStyle w:val="TableParagraph"/>
            </w:pPr>
            <w:r w:rsidRPr="005B06AD">
              <w:rPr>
                <w:w w:val="95"/>
              </w:rPr>
              <w:t>0.7%</w:t>
            </w:r>
          </w:p>
        </w:tc>
        <w:tc>
          <w:tcPr>
            <w:tcW w:w="981" w:type="dxa"/>
            <w:tcBorders>
              <w:right w:val="single" w:sz="4" w:space="0" w:color="000000"/>
            </w:tcBorders>
          </w:tcPr>
          <w:p w14:paraId="153A46E9" w14:textId="77777777" w:rsidR="002E0F7F" w:rsidRPr="005B06AD" w:rsidRDefault="0079706B">
            <w:pPr>
              <w:pStyle w:val="TableParagraph"/>
              <w:ind w:right="94"/>
            </w:pPr>
            <w:r w:rsidRPr="005B06AD">
              <w:rPr>
                <w:w w:val="95"/>
              </w:rPr>
              <w:t>$2,539</w:t>
            </w:r>
          </w:p>
        </w:tc>
      </w:tr>
      <w:tr w:rsidR="005B06AD" w:rsidRPr="005B06AD" w14:paraId="519D7076" w14:textId="77777777" w:rsidTr="00DB1E83">
        <w:trPr>
          <w:trHeight w:val="330"/>
        </w:trPr>
        <w:tc>
          <w:tcPr>
            <w:tcW w:w="2015" w:type="dxa"/>
            <w:tcBorders>
              <w:left w:val="single" w:sz="4" w:space="0" w:color="000000"/>
            </w:tcBorders>
          </w:tcPr>
          <w:p w14:paraId="7A2391B2" w14:textId="77777777" w:rsidR="002E0F7F" w:rsidRPr="005B06AD" w:rsidRDefault="0079706B" w:rsidP="00975AFC">
            <w:pPr>
              <w:pStyle w:val="TableParagraph"/>
              <w:spacing w:before="10"/>
              <w:ind w:left="107" w:right="0"/>
              <w:jc w:val="left"/>
            </w:pPr>
            <w:proofErr w:type="spellStart"/>
            <w:r w:rsidRPr="005B06AD">
              <w:t>Eg</w:t>
            </w:r>
            <w:r w:rsidR="00975AFC" w:rsidRPr="005B06AD">
              <w:t>it</w:t>
            </w:r>
            <w:r w:rsidRPr="005B06AD">
              <w:t>t</w:t>
            </w:r>
            <w:r w:rsidR="00975AFC" w:rsidRPr="005B06AD">
              <w:t>o</w:t>
            </w:r>
            <w:proofErr w:type="spellEnd"/>
          </w:p>
        </w:tc>
        <w:tc>
          <w:tcPr>
            <w:tcW w:w="850" w:type="dxa"/>
          </w:tcPr>
          <w:p w14:paraId="41994230" w14:textId="77777777" w:rsidR="002E0F7F" w:rsidRPr="005B06AD" w:rsidRDefault="0079706B">
            <w:pPr>
              <w:pStyle w:val="TableParagraph"/>
              <w:spacing w:before="10"/>
            </w:pPr>
            <w:r w:rsidRPr="005B06AD">
              <w:rPr>
                <w:w w:val="95"/>
              </w:rPr>
              <w:t>224</w:t>
            </w:r>
          </w:p>
        </w:tc>
        <w:tc>
          <w:tcPr>
            <w:tcW w:w="1230" w:type="dxa"/>
          </w:tcPr>
          <w:p w14:paraId="2F8D1443" w14:textId="77777777" w:rsidR="002E0F7F" w:rsidRPr="005B06AD" w:rsidRDefault="0079706B">
            <w:pPr>
              <w:pStyle w:val="TableParagraph"/>
              <w:spacing w:before="10"/>
              <w:ind w:right="100"/>
            </w:pPr>
            <w:r w:rsidRPr="005B06AD">
              <w:rPr>
                <w:w w:val="95"/>
              </w:rPr>
              <w:t>99</w:t>
            </w:r>
          </w:p>
        </w:tc>
        <w:tc>
          <w:tcPr>
            <w:tcW w:w="1179" w:type="dxa"/>
          </w:tcPr>
          <w:p w14:paraId="524F2C99" w14:textId="77777777" w:rsidR="002E0F7F" w:rsidRPr="005B06AD" w:rsidRDefault="0079706B">
            <w:pPr>
              <w:pStyle w:val="TableParagraph"/>
              <w:spacing w:before="10"/>
            </w:pPr>
            <w:r w:rsidRPr="005B06AD">
              <w:rPr>
                <w:w w:val="95"/>
              </w:rPr>
              <w:t>2.3</w:t>
            </w:r>
          </w:p>
        </w:tc>
        <w:tc>
          <w:tcPr>
            <w:tcW w:w="1135" w:type="dxa"/>
          </w:tcPr>
          <w:p w14:paraId="426ED6C1" w14:textId="77777777" w:rsidR="002E0F7F" w:rsidRPr="005B06AD" w:rsidRDefault="0079706B">
            <w:pPr>
              <w:pStyle w:val="TableParagraph"/>
              <w:spacing w:before="10"/>
            </w:pPr>
            <w:r w:rsidRPr="005B06AD">
              <w:rPr>
                <w:w w:val="95"/>
              </w:rPr>
              <w:t>0.7%</w:t>
            </w:r>
          </w:p>
        </w:tc>
        <w:tc>
          <w:tcPr>
            <w:tcW w:w="981" w:type="dxa"/>
            <w:tcBorders>
              <w:right w:val="single" w:sz="4" w:space="0" w:color="000000"/>
            </w:tcBorders>
          </w:tcPr>
          <w:p w14:paraId="3131768B" w14:textId="77777777" w:rsidR="002E0F7F" w:rsidRPr="005B06AD" w:rsidRDefault="0079706B">
            <w:pPr>
              <w:pStyle w:val="TableParagraph"/>
              <w:spacing w:before="10"/>
              <w:ind w:right="94"/>
            </w:pPr>
            <w:r w:rsidRPr="005B06AD">
              <w:rPr>
                <w:w w:val="95"/>
              </w:rPr>
              <w:t>$2,526</w:t>
            </w:r>
          </w:p>
        </w:tc>
      </w:tr>
      <w:tr w:rsidR="005B06AD" w:rsidRPr="005B06AD" w14:paraId="76AA5CF4" w14:textId="77777777" w:rsidTr="00DB1E83">
        <w:trPr>
          <w:trHeight w:val="331"/>
        </w:trPr>
        <w:tc>
          <w:tcPr>
            <w:tcW w:w="2015" w:type="dxa"/>
            <w:tcBorders>
              <w:left w:val="single" w:sz="4" w:space="0" w:color="000000"/>
            </w:tcBorders>
          </w:tcPr>
          <w:p w14:paraId="1FF04107" w14:textId="77777777" w:rsidR="002E0F7F" w:rsidRPr="005B06AD" w:rsidRDefault="0079706B">
            <w:pPr>
              <w:pStyle w:val="TableParagraph"/>
              <w:ind w:left="107" w:right="0"/>
              <w:jc w:val="left"/>
            </w:pPr>
            <w:r w:rsidRPr="005B06AD">
              <w:t>Pakistan</w:t>
            </w:r>
          </w:p>
        </w:tc>
        <w:tc>
          <w:tcPr>
            <w:tcW w:w="850" w:type="dxa"/>
          </w:tcPr>
          <w:p w14:paraId="5EFB5B12" w14:textId="77777777" w:rsidR="002E0F7F" w:rsidRPr="005B06AD" w:rsidRDefault="0079706B">
            <w:pPr>
              <w:pStyle w:val="TableParagraph"/>
            </w:pPr>
            <w:r w:rsidRPr="005B06AD">
              <w:rPr>
                <w:w w:val="95"/>
              </w:rPr>
              <w:t>196</w:t>
            </w:r>
          </w:p>
        </w:tc>
        <w:tc>
          <w:tcPr>
            <w:tcW w:w="1230" w:type="dxa"/>
          </w:tcPr>
          <w:p w14:paraId="6BE19DD9" w14:textId="77777777" w:rsidR="002E0F7F" w:rsidRPr="005B06AD" w:rsidRDefault="0079706B">
            <w:pPr>
              <w:pStyle w:val="TableParagraph"/>
              <w:ind w:right="100"/>
            </w:pPr>
            <w:r w:rsidRPr="005B06AD">
              <w:t>201</w:t>
            </w:r>
          </w:p>
        </w:tc>
        <w:tc>
          <w:tcPr>
            <w:tcW w:w="1179" w:type="dxa"/>
          </w:tcPr>
          <w:p w14:paraId="497185A4" w14:textId="77777777" w:rsidR="002E0F7F" w:rsidRPr="005B06AD" w:rsidRDefault="0079706B">
            <w:pPr>
              <w:pStyle w:val="TableParagraph"/>
            </w:pPr>
            <w:r w:rsidRPr="005B06AD">
              <w:rPr>
                <w:w w:val="95"/>
              </w:rPr>
              <w:t>1.0</w:t>
            </w:r>
          </w:p>
        </w:tc>
        <w:tc>
          <w:tcPr>
            <w:tcW w:w="1135" w:type="dxa"/>
          </w:tcPr>
          <w:p w14:paraId="2320CF81" w14:textId="77777777" w:rsidR="002E0F7F" w:rsidRPr="005B06AD" w:rsidRDefault="0079706B">
            <w:pPr>
              <w:pStyle w:val="TableParagraph"/>
            </w:pPr>
            <w:r w:rsidRPr="005B06AD">
              <w:rPr>
                <w:w w:val="95"/>
              </w:rPr>
              <w:t>0.6%</w:t>
            </w:r>
          </w:p>
        </w:tc>
        <w:tc>
          <w:tcPr>
            <w:tcW w:w="981" w:type="dxa"/>
            <w:tcBorders>
              <w:right w:val="single" w:sz="4" w:space="0" w:color="000000"/>
            </w:tcBorders>
          </w:tcPr>
          <w:p w14:paraId="3CC5430F" w14:textId="77777777" w:rsidR="002E0F7F" w:rsidRPr="005B06AD" w:rsidRDefault="0079706B">
            <w:pPr>
              <w:pStyle w:val="TableParagraph"/>
              <w:ind w:right="94"/>
            </w:pPr>
            <w:r w:rsidRPr="005B06AD">
              <w:rPr>
                <w:w w:val="95"/>
              </w:rPr>
              <w:t>$1,559</w:t>
            </w:r>
          </w:p>
        </w:tc>
      </w:tr>
      <w:tr w:rsidR="005B06AD" w:rsidRPr="005B06AD" w14:paraId="056740B5" w14:textId="77777777" w:rsidTr="00DB1E83">
        <w:trPr>
          <w:trHeight w:val="331"/>
        </w:trPr>
        <w:tc>
          <w:tcPr>
            <w:tcW w:w="2015" w:type="dxa"/>
            <w:tcBorders>
              <w:left w:val="single" w:sz="4" w:space="0" w:color="000000"/>
            </w:tcBorders>
          </w:tcPr>
          <w:p w14:paraId="00BCF9ED" w14:textId="77777777" w:rsidR="002E0F7F" w:rsidRPr="005B06AD" w:rsidRDefault="00975AFC">
            <w:pPr>
              <w:pStyle w:val="TableParagraph"/>
              <w:ind w:left="107" w:right="0"/>
              <w:jc w:val="left"/>
            </w:pPr>
            <w:proofErr w:type="spellStart"/>
            <w:r w:rsidRPr="005B06AD">
              <w:t>Ucraina</w:t>
            </w:r>
            <w:proofErr w:type="spellEnd"/>
          </w:p>
        </w:tc>
        <w:tc>
          <w:tcPr>
            <w:tcW w:w="850" w:type="dxa"/>
          </w:tcPr>
          <w:p w14:paraId="6CCCA12F" w14:textId="77777777" w:rsidR="002E0F7F" w:rsidRPr="005B06AD" w:rsidRDefault="0079706B">
            <w:pPr>
              <w:pStyle w:val="TableParagraph"/>
            </w:pPr>
            <w:r w:rsidRPr="005B06AD">
              <w:rPr>
                <w:w w:val="95"/>
              </w:rPr>
              <w:t>187</w:t>
            </w:r>
          </w:p>
        </w:tc>
        <w:tc>
          <w:tcPr>
            <w:tcW w:w="1230" w:type="dxa"/>
          </w:tcPr>
          <w:p w14:paraId="015068BD" w14:textId="77777777" w:rsidR="002E0F7F" w:rsidRPr="005B06AD" w:rsidRDefault="0079706B">
            <w:pPr>
              <w:pStyle w:val="TableParagraph"/>
              <w:ind w:right="100"/>
            </w:pPr>
            <w:r w:rsidRPr="005B06AD">
              <w:rPr>
                <w:w w:val="95"/>
              </w:rPr>
              <w:t>44</w:t>
            </w:r>
          </w:p>
        </w:tc>
        <w:tc>
          <w:tcPr>
            <w:tcW w:w="1179" w:type="dxa"/>
          </w:tcPr>
          <w:p w14:paraId="04CEBF74" w14:textId="77777777" w:rsidR="002E0F7F" w:rsidRPr="005B06AD" w:rsidRDefault="0079706B">
            <w:pPr>
              <w:pStyle w:val="TableParagraph"/>
            </w:pPr>
            <w:r w:rsidRPr="005B06AD">
              <w:rPr>
                <w:w w:val="95"/>
              </w:rPr>
              <w:t>4.2</w:t>
            </w:r>
          </w:p>
        </w:tc>
        <w:tc>
          <w:tcPr>
            <w:tcW w:w="1135" w:type="dxa"/>
          </w:tcPr>
          <w:p w14:paraId="0A937FBD" w14:textId="77777777" w:rsidR="002E0F7F" w:rsidRPr="005B06AD" w:rsidRDefault="0079706B">
            <w:pPr>
              <w:pStyle w:val="TableParagraph"/>
            </w:pPr>
            <w:r w:rsidRPr="005B06AD">
              <w:rPr>
                <w:w w:val="95"/>
              </w:rPr>
              <w:t>0.6%</w:t>
            </w:r>
          </w:p>
        </w:tc>
        <w:tc>
          <w:tcPr>
            <w:tcW w:w="981" w:type="dxa"/>
            <w:tcBorders>
              <w:right w:val="single" w:sz="4" w:space="0" w:color="000000"/>
            </w:tcBorders>
          </w:tcPr>
          <w:p w14:paraId="57983648" w14:textId="77777777" w:rsidR="002E0F7F" w:rsidRPr="005B06AD" w:rsidRDefault="0079706B">
            <w:pPr>
              <w:pStyle w:val="TableParagraph"/>
              <w:ind w:right="94"/>
            </w:pPr>
            <w:r w:rsidRPr="005B06AD">
              <w:rPr>
                <w:w w:val="95"/>
              </w:rPr>
              <w:t>$2,977</w:t>
            </w:r>
          </w:p>
        </w:tc>
      </w:tr>
      <w:tr w:rsidR="005B06AD" w:rsidRPr="005B06AD" w14:paraId="2F3D1184" w14:textId="77777777" w:rsidTr="00DB1E83">
        <w:trPr>
          <w:trHeight w:val="331"/>
        </w:trPr>
        <w:tc>
          <w:tcPr>
            <w:tcW w:w="2015" w:type="dxa"/>
            <w:tcBorders>
              <w:left w:val="single" w:sz="4" w:space="0" w:color="000000"/>
            </w:tcBorders>
          </w:tcPr>
          <w:p w14:paraId="652A0F8E" w14:textId="77777777" w:rsidR="002E0F7F" w:rsidRPr="005B06AD" w:rsidRDefault="00975AFC">
            <w:pPr>
              <w:pStyle w:val="TableParagraph"/>
              <w:ind w:left="107" w:right="0"/>
              <w:jc w:val="left"/>
              <w:rPr>
                <w:b/>
              </w:rPr>
            </w:pPr>
            <w:proofErr w:type="spellStart"/>
            <w:r w:rsidRPr="005B06AD">
              <w:rPr>
                <w:b/>
              </w:rPr>
              <w:t>Primi</w:t>
            </w:r>
            <w:proofErr w:type="spellEnd"/>
            <w:r w:rsidR="0079706B" w:rsidRPr="005B06AD">
              <w:rPr>
                <w:b/>
              </w:rPr>
              <w:t xml:space="preserve"> 25</w:t>
            </w:r>
          </w:p>
        </w:tc>
        <w:tc>
          <w:tcPr>
            <w:tcW w:w="850" w:type="dxa"/>
          </w:tcPr>
          <w:p w14:paraId="19A3B672" w14:textId="77777777" w:rsidR="002E0F7F" w:rsidRPr="005B06AD" w:rsidRDefault="0079706B">
            <w:pPr>
              <w:pStyle w:val="TableParagraph"/>
              <w:rPr>
                <w:b/>
              </w:rPr>
            </w:pPr>
            <w:r w:rsidRPr="005B06AD">
              <w:rPr>
                <w:b/>
                <w:w w:val="95"/>
              </w:rPr>
              <w:t>30511</w:t>
            </w:r>
          </w:p>
        </w:tc>
        <w:tc>
          <w:tcPr>
            <w:tcW w:w="1230" w:type="dxa"/>
          </w:tcPr>
          <w:p w14:paraId="389AF08E" w14:textId="77777777" w:rsidR="002E0F7F" w:rsidRPr="005B06AD" w:rsidRDefault="0079706B">
            <w:pPr>
              <w:pStyle w:val="TableParagraph"/>
              <w:ind w:right="100"/>
              <w:rPr>
                <w:b/>
              </w:rPr>
            </w:pPr>
            <w:r w:rsidRPr="005B06AD">
              <w:rPr>
                <w:b/>
                <w:w w:val="95"/>
              </w:rPr>
              <w:t>5460</w:t>
            </w:r>
          </w:p>
        </w:tc>
        <w:tc>
          <w:tcPr>
            <w:tcW w:w="1179" w:type="dxa"/>
          </w:tcPr>
          <w:p w14:paraId="2B0B59D2" w14:textId="77777777" w:rsidR="002E0F7F" w:rsidRPr="005B06AD" w:rsidRDefault="0079706B">
            <w:pPr>
              <w:pStyle w:val="TableParagraph"/>
              <w:ind w:right="100"/>
              <w:rPr>
                <w:b/>
              </w:rPr>
            </w:pPr>
            <w:r w:rsidRPr="005B06AD">
              <w:rPr>
                <w:b/>
                <w:w w:val="95"/>
              </w:rPr>
              <w:t>5.6</w:t>
            </w:r>
          </w:p>
        </w:tc>
        <w:tc>
          <w:tcPr>
            <w:tcW w:w="1135" w:type="dxa"/>
          </w:tcPr>
          <w:p w14:paraId="6D8185C8" w14:textId="77777777" w:rsidR="002E0F7F" w:rsidRPr="005B06AD" w:rsidRDefault="0079706B">
            <w:pPr>
              <w:pStyle w:val="TableParagraph"/>
              <w:ind w:right="100"/>
              <w:rPr>
                <w:b/>
              </w:rPr>
            </w:pPr>
            <w:r w:rsidRPr="005B06AD">
              <w:rPr>
                <w:b/>
                <w:w w:val="95"/>
              </w:rPr>
              <w:t>91.8%</w:t>
            </w:r>
          </w:p>
        </w:tc>
        <w:tc>
          <w:tcPr>
            <w:tcW w:w="981" w:type="dxa"/>
            <w:tcBorders>
              <w:right w:val="single" w:sz="4" w:space="0" w:color="000000"/>
            </w:tcBorders>
          </w:tcPr>
          <w:p w14:paraId="1CF64836" w14:textId="77777777" w:rsidR="002E0F7F" w:rsidRPr="005B06AD" w:rsidRDefault="0079706B">
            <w:pPr>
              <w:pStyle w:val="TableParagraph"/>
              <w:ind w:right="96"/>
              <w:rPr>
                <w:b/>
              </w:rPr>
            </w:pPr>
            <w:r w:rsidRPr="005B06AD">
              <w:rPr>
                <w:b/>
                <w:w w:val="95"/>
              </w:rPr>
              <w:t>$13,960</w:t>
            </w:r>
          </w:p>
        </w:tc>
      </w:tr>
      <w:tr w:rsidR="005B06AD" w:rsidRPr="005B06AD" w14:paraId="77D0C53A" w14:textId="77777777" w:rsidTr="00DB1E83">
        <w:trPr>
          <w:trHeight w:val="280"/>
        </w:trPr>
        <w:tc>
          <w:tcPr>
            <w:tcW w:w="2015" w:type="dxa"/>
            <w:tcBorders>
              <w:left w:val="single" w:sz="4" w:space="0" w:color="000000"/>
              <w:bottom w:val="single" w:sz="4" w:space="0" w:color="000000"/>
            </w:tcBorders>
          </w:tcPr>
          <w:p w14:paraId="54D5BCE2" w14:textId="77777777" w:rsidR="002E0F7F" w:rsidRPr="005B06AD" w:rsidRDefault="00975AFC">
            <w:pPr>
              <w:pStyle w:val="TableParagraph"/>
              <w:spacing w:line="249" w:lineRule="exact"/>
              <w:ind w:left="107" w:right="0"/>
              <w:jc w:val="left"/>
              <w:rPr>
                <w:b/>
              </w:rPr>
            </w:pPr>
            <w:r w:rsidRPr="005B06AD">
              <w:rPr>
                <w:b/>
              </w:rPr>
              <w:t>Mondo</w:t>
            </w:r>
          </w:p>
        </w:tc>
        <w:tc>
          <w:tcPr>
            <w:tcW w:w="850" w:type="dxa"/>
            <w:tcBorders>
              <w:bottom w:val="single" w:sz="4" w:space="0" w:color="000000"/>
            </w:tcBorders>
          </w:tcPr>
          <w:p w14:paraId="26BC1254" w14:textId="77777777" w:rsidR="002E0F7F" w:rsidRPr="005B06AD" w:rsidRDefault="0079706B">
            <w:pPr>
              <w:pStyle w:val="TableParagraph"/>
              <w:spacing w:line="249" w:lineRule="exact"/>
              <w:rPr>
                <w:b/>
              </w:rPr>
            </w:pPr>
            <w:r w:rsidRPr="005B06AD">
              <w:rPr>
                <w:b/>
                <w:w w:val="95"/>
              </w:rPr>
              <w:t>33243</w:t>
            </w:r>
          </w:p>
        </w:tc>
        <w:tc>
          <w:tcPr>
            <w:tcW w:w="1230" w:type="dxa"/>
            <w:tcBorders>
              <w:bottom w:val="single" w:sz="4" w:space="0" w:color="000000"/>
            </w:tcBorders>
          </w:tcPr>
          <w:p w14:paraId="1817ED65" w14:textId="77777777" w:rsidR="002E0F7F" w:rsidRPr="005B06AD" w:rsidRDefault="0079706B">
            <w:pPr>
              <w:pStyle w:val="TableParagraph"/>
              <w:spacing w:line="249" w:lineRule="exact"/>
              <w:ind w:right="100"/>
              <w:rPr>
                <w:b/>
              </w:rPr>
            </w:pPr>
            <w:r w:rsidRPr="005B06AD">
              <w:rPr>
                <w:b/>
                <w:w w:val="95"/>
              </w:rPr>
              <w:t>7550</w:t>
            </w:r>
          </w:p>
        </w:tc>
        <w:tc>
          <w:tcPr>
            <w:tcW w:w="1179" w:type="dxa"/>
            <w:tcBorders>
              <w:bottom w:val="single" w:sz="4" w:space="0" w:color="000000"/>
            </w:tcBorders>
          </w:tcPr>
          <w:p w14:paraId="68FAFD1A" w14:textId="77777777" w:rsidR="002E0F7F" w:rsidRPr="005B06AD" w:rsidRDefault="0079706B">
            <w:pPr>
              <w:pStyle w:val="TableParagraph"/>
              <w:spacing w:line="249" w:lineRule="exact"/>
              <w:ind w:right="100"/>
              <w:rPr>
                <w:b/>
              </w:rPr>
            </w:pPr>
            <w:r w:rsidRPr="005B06AD">
              <w:rPr>
                <w:b/>
                <w:w w:val="95"/>
              </w:rPr>
              <w:t>4.4</w:t>
            </w:r>
          </w:p>
        </w:tc>
        <w:tc>
          <w:tcPr>
            <w:tcW w:w="1135" w:type="dxa"/>
            <w:tcBorders>
              <w:bottom w:val="single" w:sz="4" w:space="0" w:color="000000"/>
            </w:tcBorders>
          </w:tcPr>
          <w:p w14:paraId="7FCCBE3C" w14:textId="77777777" w:rsidR="002E0F7F" w:rsidRPr="005B06AD" w:rsidRDefault="0079706B">
            <w:pPr>
              <w:pStyle w:val="TableParagraph"/>
              <w:spacing w:line="249" w:lineRule="exact"/>
              <w:ind w:right="100"/>
              <w:rPr>
                <w:b/>
              </w:rPr>
            </w:pPr>
            <w:r w:rsidRPr="005B06AD">
              <w:rPr>
                <w:b/>
                <w:w w:val="95"/>
              </w:rPr>
              <w:t>100.0%</w:t>
            </w:r>
          </w:p>
        </w:tc>
        <w:tc>
          <w:tcPr>
            <w:tcW w:w="981" w:type="dxa"/>
            <w:tcBorders>
              <w:bottom w:val="single" w:sz="4" w:space="0" w:color="000000"/>
              <w:right w:val="single" w:sz="4" w:space="0" w:color="000000"/>
            </w:tcBorders>
          </w:tcPr>
          <w:p w14:paraId="6CAB044C" w14:textId="77777777" w:rsidR="002E0F7F" w:rsidRPr="005B06AD" w:rsidRDefault="0079706B">
            <w:pPr>
              <w:pStyle w:val="TableParagraph"/>
              <w:spacing w:line="249" w:lineRule="exact"/>
              <w:ind w:right="96"/>
              <w:rPr>
                <w:b/>
              </w:rPr>
            </w:pPr>
            <w:r w:rsidRPr="005B06AD">
              <w:rPr>
                <w:b/>
                <w:w w:val="95"/>
              </w:rPr>
              <w:t>$11,363</w:t>
            </w:r>
          </w:p>
        </w:tc>
      </w:tr>
    </w:tbl>
    <w:p w14:paraId="1F2B3862" w14:textId="77777777" w:rsidR="002E0F7F" w:rsidRPr="005B06AD" w:rsidRDefault="002E0F7F">
      <w:pPr>
        <w:spacing w:line="249" w:lineRule="exact"/>
        <w:sectPr w:rsidR="002E0F7F" w:rsidRPr="005B06AD">
          <w:pgSz w:w="12240" w:h="15840"/>
          <w:pgMar w:top="1080" w:right="1040" w:bottom="940" w:left="880" w:header="0" w:footer="744" w:gutter="0"/>
          <w:cols w:space="720"/>
        </w:sectPr>
      </w:pPr>
    </w:p>
    <w:p w14:paraId="581EDA3F" w14:textId="28891DFE" w:rsidR="002E0F7F" w:rsidRPr="005B06AD" w:rsidRDefault="0079706B" w:rsidP="00F767EA">
      <w:pPr>
        <w:pStyle w:val="Corpotesto"/>
        <w:spacing w:before="70" w:line="259" w:lineRule="auto"/>
        <w:ind w:right="263"/>
        <w:jc w:val="both"/>
        <w:rPr>
          <w:lang w:val="it-IT"/>
        </w:rPr>
      </w:pPr>
      <w:r w:rsidRPr="005B06AD">
        <w:rPr>
          <w:b/>
          <w:lang w:val="it-IT"/>
        </w:rPr>
        <w:lastRenderedPageBreak/>
        <w:t xml:space="preserve">Tabella S2. </w:t>
      </w:r>
      <w:r w:rsidR="0028443C" w:rsidRPr="005B06AD">
        <w:rPr>
          <w:lang w:val="it-IT"/>
        </w:rPr>
        <w:t xml:space="preserve">Riepilogo degli indicatori delle attività umane. Le colonne della </w:t>
      </w:r>
      <w:r w:rsidR="0074662B" w:rsidRPr="005B06AD">
        <w:rPr>
          <w:lang w:val="it-IT"/>
        </w:rPr>
        <w:t>t</w:t>
      </w:r>
      <w:r w:rsidR="0028443C" w:rsidRPr="005B06AD">
        <w:rPr>
          <w:lang w:val="it-IT"/>
        </w:rPr>
        <w:t xml:space="preserve">abella mostrano il nome della variabile, l'anno </w:t>
      </w:r>
      <w:r w:rsidR="001F4DBB" w:rsidRPr="005B06AD">
        <w:rPr>
          <w:lang w:val="it-IT"/>
        </w:rPr>
        <w:t xml:space="preserve">di rilevazione </w:t>
      </w:r>
      <w:r w:rsidR="0028443C" w:rsidRPr="005B06AD">
        <w:rPr>
          <w:lang w:val="it-IT"/>
        </w:rPr>
        <w:t xml:space="preserve">più recente, il valore della variabile in quell'anno, la posizione in quell'anno (la prima posizione è il valore </w:t>
      </w:r>
      <w:r w:rsidR="007D406A" w:rsidRPr="005B06AD">
        <w:rPr>
          <w:lang w:val="it-IT"/>
        </w:rPr>
        <w:t>massimo</w:t>
      </w:r>
      <w:r w:rsidR="0028443C" w:rsidRPr="005B06AD">
        <w:rPr>
          <w:lang w:val="it-IT"/>
        </w:rPr>
        <w:t xml:space="preserve"> possibile) e il numero totale di anni con dati (dal 1979). Ad esempio, la popolazione umana è stata </w:t>
      </w:r>
      <w:r w:rsidR="001F4DBB" w:rsidRPr="005B06AD">
        <w:rPr>
          <w:lang w:val="it-IT"/>
        </w:rPr>
        <w:t>misurata l’ultima volta</w:t>
      </w:r>
      <w:r w:rsidR="0028443C" w:rsidRPr="005B06AD">
        <w:rPr>
          <w:lang w:val="it-IT"/>
        </w:rPr>
        <w:t xml:space="preserve"> nel 2018 </w:t>
      </w:r>
      <w:r w:rsidR="001F4DBB" w:rsidRPr="005B06AD">
        <w:rPr>
          <w:lang w:val="it-IT"/>
        </w:rPr>
        <w:t>con</w:t>
      </w:r>
      <w:r w:rsidR="0028443C" w:rsidRPr="005B06AD">
        <w:rPr>
          <w:lang w:val="it-IT"/>
        </w:rPr>
        <w:t xml:space="preserve"> un valore di 7,63 miliardi di </w:t>
      </w:r>
      <w:r w:rsidR="001F4DBB" w:rsidRPr="005B06AD">
        <w:rPr>
          <w:lang w:val="it-IT"/>
        </w:rPr>
        <w:t>persone</w:t>
      </w:r>
      <w:r w:rsidR="0028443C" w:rsidRPr="005B06AD">
        <w:rPr>
          <w:lang w:val="it-IT"/>
        </w:rPr>
        <w:t xml:space="preserve">, che si è classificato come il valore </w:t>
      </w:r>
      <w:r w:rsidR="001F4DBB" w:rsidRPr="005B06AD">
        <w:rPr>
          <w:lang w:val="it-IT"/>
        </w:rPr>
        <w:t xml:space="preserve">massimo </w:t>
      </w:r>
      <w:r w:rsidR="0028443C" w:rsidRPr="005B06AD">
        <w:rPr>
          <w:lang w:val="it-IT"/>
        </w:rPr>
        <w:t>nei 40 anni di dati disponibili dal 1979.</w:t>
      </w:r>
    </w:p>
    <w:p w14:paraId="32A78A24" w14:textId="77777777" w:rsidR="002E0F7F" w:rsidRPr="005B06AD" w:rsidRDefault="002E0F7F">
      <w:pPr>
        <w:pStyle w:val="Corpotesto"/>
        <w:spacing w:before="11"/>
        <w:ind w:left="0"/>
        <w:rPr>
          <w:sz w:val="13"/>
          <w:lang w:val="it-IT"/>
        </w:rPr>
      </w:pPr>
    </w:p>
    <w:tbl>
      <w:tblPr>
        <w:tblStyle w:val="TableNormal1"/>
        <w:tblW w:w="0" w:type="auto"/>
        <w:tblInd w:w="254" w:type="dxa"/>
        <w:tblLayout w:type="fixed"/>
        <w:tblLook w:val="01E0" w:firstRow="1" w:lastRow="1" w:firstColumn="1" w:lastColumn="1" w:noHBand="0" w:noVBand="0"/>
      </w:tblPr>
      <w:tblGrid>
        <w:gridCol w:w="5138"/>
        <w:gridCol w:w="692"/>
        <w:gridCol w:w="738"/>
        <w:gridCol w:w="980"/>
        <w:gridCol w:w="1701"/>
      </w:tblGrid>
      <w:tr w:rsidR="005B06AD" w:rsidRPr="005B06AD" w14:paraId="47A9BD85" w14:textId="77777777" w:rsidTr="00DB1E83">
        <w:trPr>
          <w:trHeight w:val="498"/>
        </w:trPr>
        <w:tc>
          <w:tcPr>
            <w:tcW w:w="5138" w:type="dxa"/>
            <w:tcBorders>
              <w:top w:val="single" w:sz="4" w:space="0" w:color="000000"/>
              <w:left w:val="single" w:sz="4" w:space="0" w:color="000000"/>
            </w:tcBorders>
          </w:tcPr>
          <w:p w14:paraId="606B4617" w14:textId="77777777" w:rsidR="002E0F7F" w:rsidRPr="005B06AD" w:rsidRDefault="0079706B">
            <w:pPr>
              <w:pStyle w:val="TableParagraph"/>
              <w:spacing w:before="113"/>
              <w:ind w:left="79" w:right="0"/>
              <w:jc w:val="left"/>
              <w:rPr>
                <w:b/>
              </w:rPr>
            </w:pPr>
            <w:proofErr w:type="spellStart"/>
            <w:r w:rsidRPr="005B06AD">
              <w:rPr>
                <w:b/>
              </w:rPr>
              <w:t>Variab</w:t>
            </w:r>
            <w:r w:rsidR="0028443C" w:rsidRPr="005B06AD">
              <w:rPr>
                <w:b/>
              </w:rPr>
              <w:t>i</w:t>
            </w:r>
            <w:r w:rsidRPr="005B06AD">
              <w:rPr>
                <w:b/>
              </w:rPr>
              <w:t>le</w:t>
            </w:r>
            <w:proofErr w:type="spellEnd"/>
          </w:p>
        </w:tc>
        <w:tc>
          <w:tcPr>
            <w:tcW w:w="692" w:type="dxa"/>
            <w:tcBorders>
              <w:top w:val="single" w:sz="4" w:space="0" w:color="000000"/>
            </w:tcBorders>
          </w:tcPr>
          <w:p w14:paraId="0E6CD758" w14:textId="77777777" w:rsidR="002E0F7F" w:rsidRPr="005B06AD" w:rsidRDefault="0028443C">
            <w:pPr>
              <w:pStyle w:val="TableParagraph"/>
              <w:spacing w:before="113"/>
              <w:ind w:right="102"/>
              <w:rPr>
                <w:b/>
              </w:rPr>
            </w:pPr>
            <w:r w:rsidRPr="005B06AD">
              <w:rPr>
                <w:b/>
              </w:rPr>
              <w:t>Anno</w:t>
            </w:r>
          </w:p>
        </w:tc>
        <w:tc>
          <w:tcPr>
            <w:tcW w:w="738" w:type="dxa"/>
            <w:tcBorders>
              <w:top w:val="single" w:sz="4" w:space="0" w:color="000000"/>
            </w:tcBorders>
          </w:tcPr>
          <w:p w14:paraId="008E0F88" w14:textId="77777777" w:rsidR="002E0F7F" w:rsidRPr="005B06AD" w:rsidRDefault="0079706B" w:rsidP="0028443C">
            <w:pPr>
              <w:pStyle w:val="TableParagraph"/>
              <w:spacing w:before="113"/>
              <w:ind w:right="102"/>
              <w:rPr>
                <w:b/>
              </w:rPr>
            </w:pPr>
            <w:r w:rsidRPr="005B06AD">
              <w:rPr>
                <w:b/>
              </w:rPr>
              <w:t>Val</w:t>
            </w:r>
            <w:r w:rsidR="0028443C" w:rsidRPr="005B06AD">
              <w:rPr>
                <w:b/>
              </w:rPr>
              <w:t>or</w:t>
            </w:r>
            <w:r w:rsidRPr="005B06AD">
              <w:rPr>
                <w:b/>
              </w:rPr>
              <w:t>e</w:t>
            </w:r>
          </w:p>
        </w:tc>
        <w:tc>
          <w:tcPr>
            <w:tcW w:w="980" w:type="dxa"/>
            <w:tcBorders>
              <w:top w:val="single" w:sz="4" w:space="0" w:color="000000"/>
            </w:tcBorders>
          </w:tcPr>
          <w:p w14:paraId="64F68F99" w14:textId="71228AB8" w:rsidR="002E0F7F" w:rsidRPr="005B06AD" w:rsidRDefault="0028443C" w:rsidP="0028443C">
            <w:pPr>
              <w:pStyle w:val="TableParagraph"/>
              <w:spacing w:before="113"/>
              <w:ind w:right="102"/>
              <w:rPr>
                <w:b/>
              </w:rPr>
            </w:pPr>
            <w:proofErr w:type="spellStart"/>
            <w:r w:rsidRPr="005B06AD">
              <w:rPr>
                <w:b/>
              </w:rPr>
              <w:t>Posiz</w:t>
            </w:r>
            <w:r w:rsidR="00C3506B" w:rsidRPr="005B06AD">
              <w:rPr>
                <w:b/>
              </w:rPr>
              <w:t>ione</w:t>
            </w:r>
            <w:proofErr w:type="spellEnd"/>
          </w:p>
        </w:tc>
        <w:tc>
          <w:tcPr>
            <w:tcW w:w="1701" w:type="dxa"/>
            <w:tcBorders>
              <w:top w:val="single" w:sz="4" w:space="0" w:color="000000"/>
              <w:right w:val="single" w:sz="4" w:space="0" w:color="000000"/>
            </w:tcBorders>
          </w:tcPr>
          <w:p w14:paraId="61EFCD74" w14:textId="6ECEE04D" w:rsidR="002E0F7F" w:rsidRPr="005B06AD" w:rsidRDefault="0028443C" w:rsidP="0028443C">
            <w:pPr>
              <w:pStyle w:val="TableParagraph"/>
              <w:spacing w:before="113"/>
              <w:ind w:right="68"/>
              <w:rPr>
                <w:b/>
              </w:rPr>
            </w:pPr>
            <w:r w:rsidRPr="005B06AD">
              <w:rPr>
                <w:b/>
              </w:rPr>
              <w:t xml:space="preserve">Anni </w:t>
            </w:r>
            <w:proofErr w:type="spellStart"/>
            <w:r w:rsidR="00C3506B" w:rsidRPr="005B06AD">
              <w:rPr>
                <w:b/>
              </w:rPr>
              <w:t>disponibili</w:t>
            </w:r>
            <w:proofErr w:type="spellEnd"/>
          </w:p>
        </w:tc>
      </w:tr>
      <w:tr w:rsidR="005B06AD" w:rsidRPr="005B06AD" w14:paraId="44A30A26" w14:textId="77777777" w:rsidTr="00DB1E83">
        <w:trPr>
          <w:trHeight w:val="462"/>
        </w:trPr>
        <w:tc>
          <w:tcPr>
            <w:tcW w:w="5138" w:type="dxa"/>
            <w:tcBorders>
              <w:left w:val="single" w:sz="4" w:space="0" w:color="000000"/>
            </w:tcBorders>
          </w:tcPr>
          <w:p w14:paraId="55D8841C" w14:textId="147E14BD" w:rsidR="002E0F7F" w:rsidRPr="005B06AD" w:rsidRDefault="0028443C" w:rsidP="0028443C">
            <w:pPr>
              <w:pStyle w:val="TableParagraph"/>
              <w:spacing w:before="76"/>
              <w:ind w:left="79" w:right="0"/>
              <w:jc w:val="left"/>
              <w:rPr>
                <w:lang w:val="it-IT"/>
              </w:rPr>
            </w:pPr>
            <w:r w:rsidRPr="005B06AD">
              <w:rPr>
                <w:lang w:val="it-IT"/>
              </w:rPr>
              <w:t xml:space="preserve">Popolazione </w:t>
            </w:r>
            <w:r w:rsidR="0079706B" w:rsidRPr="005B06AD">
              <w:rPr>
                <w:lang w:val="it-IT"/>
              </w:rPr>
              <w:t>umana</w:t>
            </w:r>
            <w:r w:rsidRPr="005B06AD">
              <w:rPr>
                <w:lang w:val="it-IT"/>
              </w:rPr>
              <w:t xml:space="preserve"> </w:t>
            </w:r>
            <w:r w:rsidR="0079706B" w:rsidRPr="005B06AD">
              <w:rPr>
                <w:lang w:val="it-IT"/>
              </w:rPr>
              <w:t>(</w:t>
            </w:r>
            <w:r w:rsidRPr="005B06AD">
              <w:rPr>
                <w:lang w:val="it-IT"/>
              </w:rPr>
              <w:t xml:space="preserve">miliardi di </w:t>
            </w:r>
            <w:r w:rsidR="001F4DBB" w:rsidRPr="005B06AD">
              <w:rPr>
                <w:lang w:val="it-IT"/>
              </w:rPr>
              <w:t>persone</w:t>
            </w:r>
            <w:r w:rsidR="0079706B" w:rsidRPr="005B06AD">
              <w:rPr>
                <w:lang w:val="it-IT"/>
              </w:rPr>
              <w:t>)</w:t>
            </w:r>
          </w:p>
        </w:tc>
        <w:tc>
          <w:tcPr>
            <w:tcW w:w="692" w:type="dxa"/>
          </w:tcPr>
          <w:p w14:paraId="6E511C7B" w14:textId="77777777" w:rsidR="002E0F7F" w:rsidRPr="005B06AD" w:rsidRDefault="0079706B">
            <w:pPr>
              <w:pStyle w:val="TableParagraph"/>
              <w:spacing w:before="76"/>
            </w:pPr>
            <w:r w:rsidRPr="005B06AD">
              <w:rPr>
                <w:w w:val="95"/>
              </w:rPr>
              <w:t>2018</w:t>
            </w:r>
          </w:p>
        </w:tc>
        <w:tc>
          <w:tcPr>
            <w:tcW w:w="738" w:type="dxa"/>
          </w:tcPr>
          <w:p w14:paraId="38BE939E" w14:textId="77777777" w:rsidR="002E0F7F" w:rsidRPr="005B06AD" w:rsidRDefault="0079706B">
            <w:pPr>
              <w:pStyle w:val="TableParagraph"/>
              <w:spacing w:before="76"/>
            </w:pPr>
            <w:r w:rsidRPr="005B06AD">
              <w:rPr>
                <w:w w:val="95"/>
              </w:rPr>
              <w:t>7.63</w:t>
            </w:r>
          </w:p>
        </w:tc>
        <w:tc>
          <w:tcPr>
            <w:tcW w:w="980" w:type="dxa"/>
          </w:tcPr>
          <w:p w14:paraId="0231F4D6" w14:textId="77777777" w:rsidR="002E0F7F" w:rsidRPr="005B06AD" w:rsidRDefault="0079706B">
            <w:pPr>
              <w:pStyle w:val="TableParagraph"/>
              <w:spacing w:before="76"/>
            </w:pPr>
            <w:r w:rsidRPr="005B06AD">
              <w:rPr>
                <w:w w:val="99"/>
              </w:rPr>
              <w:t>1</w:t>
            </w:r>
          </w:p>
        </w:tc>
        <w:tc>
          <w:tcPr>
            <w:tcW w:w="1701" w:type="dxa"/>
            <w:tcBorders>
              <w:right w:val="single" w:sz="4" w:space="0" w:color="000000"/>
            </w:tcBorders>
          </w:tcPr>
          <w:p w14:paraId="518A6073" w14:textId="77777777" w:rsidR="002E0F7F" w:rsidRPr="005B06AD" w:rsidRDefault="0079706B">
            <w:pPr>
              <w:pStyle w:val="TableParagraph"/>
              <w:spacing w:before="76"/>
              <w:ind w:right="67"/>
            </w:pPr>
            <w:r w:rsidRPr="005B06AD">
              <w:rPr>
                <w:w w:val="95"/>
              </w:rPr>
              <w:t>40</w:t>
            </w:r>
          </w:p>
        </w:tc>
      </w:tr>
      <w:tr w:rsidR="005B06AD" w:rsidRPr="005B06AD" w14:paraId="4781B52A" w14:textId="77777777" w:rsidTr="00DB1E83">
        <w:trPr>
          <w:trHeight w:val="461"/>
        </w:trPr>
        <w:tc>
          <w:tcPr>
            <w:tcW w:w="5138" w:type="dxa"/>
            <w:tcBorders>
              <w:left w:val="single" w:sz="4" w:space="0" w:color="000000"/>
            </w:tcBorders>
          </w:tcPr>
          <w:p w14:paraId="3DC933A3" w14:textId="2B4551FF" w:rsidR="002E0F7F" w:rsidRPr="005B06AD" w:rsidRDefault="001F4DBB" w:rsidP="0028443C">
            <w:pPr>
              <w:pStyle w:val="TableParagraph"/>
              <w:spacing w:before="76"/>
              <w:ind w:left="79" w:right="0"/>
              <w:jc w:val="left"/>
              <w:rPr>
                <w:lang w:val="it-IT"/>
              </w:rPr>
            </w:pPr>
            <w:r w:rsidRPr="005B06AD">
              <w:rPr>
                <w:lang w:val="it-IT"/>
              </w:rPr>
              <w:t>Tasso</w:t>
            </w:r>
            <w:r w:rsidR="0028443C" w:rsidRPr="005B06AD">
              <w:rPr>
                <w:lang w:val="it-IT"/>
              </w:rPr>
              <w:t xml:space="preserve"> di </w:t>
            </w:r>
            <w:r w:rsidR="0079706B" w:rsidRPr="005B06AD">
              <w:rPr>
                <w:lang w:val="it-IT"/>
              </w:rPr>
              <w:t>fertilit</w:t>
            </w:r>
            <w:r w:rsidR="0028443C" w:rsidRPr="005B06AD">
              <w:rPr>
                <w:lang w:val="it-IT"/>
              </w:rPr>
              <w:t>à</w:t>
            </w:r>
            <w:r w:rsidR="0079706B" w:rsidRPr="005B06AD">
              <w:rPr>
                <w:lang w:val="it-IT"/>
              </w:rPr>
              <w:t xml:space="preserve"> (</w:t>
            </w:r>
            <w:r w:rsidR="0028443C" w:rsidRPr="005B06AD">
              <w:rPr>
                <w:lang w:val="it-IT"/>
              </w:rPr>
              <w:t>nascite per donna</w:t>
            </w:r>
            <w:r w:rsidR="0079706B" w:rsidRPr="005B06AD">
              <w:rPr>
                <w:lang w:val="it-IT"/>
              </w:rPr>
              <w:t>)</w:t>
            </w:r>
          </w:p>
        </w:tc>
        <w:tc>
          <w:tcPr>
            <w:tcW w:w="692" w:type="dxa"/>
          </w:tcPr>
          <w:p w14:paraId="6ACEDA44" w14:textId="77777777" w:rsidR="002E0F7F" w:rsidRPr="005B06AD" w:rsidRDefault="0079706B">
            <w:pPr>
              <w:pStyle w:val="TableParagraph"/>
              <w:spacing w:before="76"/>
            </w:pPr>
            <w:r w:rsidRPr="005B06AD">
              <w:rPr>
                <w:w w:val="95"/>
              </w:rPr>
              <w:t>2017</w:t>
            </w:r>
          </w:p>
        </w:tc>
        <w:tc>
          <w:tcPr>
            <w:tcW w:w="738" w:type="dxa"/>
          </w:tcPr>
          <w:p w14:paraId="1C984BAE" w14:textId="77777777" w:rsidR="002E0F7F" w:rsidRPr="005B06AD" w:rsidRDefault="0079706B">
            <w:pPr>
              <w:pStyle w:val="TableParagraph"/>
              <w:spacing w:before="76"/>
            </w:pPr>
            <w:r w:rsidRPr="005B06AD">
              <w:rPr>
                <w:w w:val="95"/>
              </w:rPr>
              <w:t>2.43</w:t>
            </w:r>
          </w:p>
        </w:tc>
        <w:tc>
          <w:tcPr>
            <w:tcW w:w="980" w:type="dxa"/>
          </w:tcPr>
          <w:p w14:paraId="199C181F" w14:textId="77777777" w:rsidR="002E0F7F" w:rsidRPr="005B06AD" w:rsidRDefault="0079706B">
            <w:pPr>
              <w:pStyle w:val="TableParagraph"/>
              <w:spacing w:before="76"/>
              <w:ind w:right="100"/>
            </w:pPr>
            <w:r w:rsidRPr="005B06AD">
              <w:rPr>
                <w:w w:val="95"/>
              </w:rPr>
              <w:t>39</w:t>
            </w:r>
          </w:p>
        </w:tc>
        <w:tc>
          <w:tcPr>
            <w:tcW w:w="1701" w:type="dxa"/>
            <w:tcBorders>
              <w:right w:val="single" w:sz="4" w:space="0" w:color="000000"/>
            </w:tcBorders>
          </w:tcPr>
          <w:p w14:paraId="145622CC" w14:textId="77777777" w:rsidR="002E0F7F" w:rsidRPr="005B06AD" w:rsidRDefault="0079706B">
            <w:pPr>
              <w:pStyle w:val="TableParagraph"/>
              <w:spacing w:before="76"/>
              <w:ind w:right="67"/>
            </w:pPr>
            <w:r w:rsidRPr="005B06AD">
              <w:rPr>
                <w:w w:val="95"/>
              </w:rPr>
              <w:t>39</w:t>
            </w:r>
          </w:p>
        </w:tc>
      </w:tr>
      <w:tr w:rsidR="005B06AD" w:rsidRPr="005B06AD" w14:paraId="616BAA87" w14:textId="77777777" w:rsidTr="00DB1E83">
        <w:trPr>
          <w:trHeight w:val="462"/>
        </w:trPr>
        <w:tc>
          <w:tcPr>
            <w:tcW w:w="5138" w:type="dxa"/>
            <w:tcBorders>
              <w:left w:val="single" w:sz="4" w:space="0" w:color="000000"/>
            </w:tcBorders>
          </w:tcPr>
          <w:p w14:paraId="560FE9EB" w14:textId="77777777" w:rsidR="002E0F7F" w:rsidRPr="005B06AD" w:rsidRDefault="0028443C" w:rsidP="0028443C">
            <w:pPr>
              <w:pStyle w:val="TableParagraph"/>
              <w:spacing w:before="76"/>
              <w:ind w:left="79" w:right="0"/>
              <w:jc w:val="left"/>
              <w:rPr>
                <w:lang w:val="it-IT"/>
              </w:rPr>
            </w:pPr>
            <w:r w:rsidRPr="005B06AD">
              <w:rPr>
                <w:lang w:val="it-IT"/>
              </w:rPr>
              <w:t>Bestiame r</w:t>
            </w:r>
            <w:r w:rsidR="0079706B" w:rsidRPr="005B06AD">
              <w:rPr>
                <w:lang w:val="it-IT"/>
              </w:rPr>
              <w:t>uminant</w:t>
            </w:r>
            <w:r w:rsidRPr="005B06AD">
              <w:rPr>
                <w:lang w:val="it-IT"/>
              </w:rPr>
              <w:t>e</w:t>
            </w:r>
            <w:r w:rsidR="0079706B" w:rsidRPr="005B06AD">
              <w:rPr>
                <w:lang w:val="it-IT"/>
              </w:rPr>
              <w:t xml:space="preserve"> (</w:t>
            </w:r>
            <w:r w:rsidRPr="005B06AD">
              <w:rPr>
                <w:lang w:val="it-IT"/>
              </w:rPr>
              <w:t>miliardi di individui</w:t>
            </w:r>
            <w:r w:rsidR="0079706B" w:rsidRPr="005B06AD">
              <w:rPr>
                <w:lang w:val="it-IT"/>
              </w:rPr>
              <w:t>)</w:t>
            </w:r>
          </w:p>
        </w:tc>
        <w:tc>
          <w:tcPr>
            <w:tcW w:w="692" w:type="dxa"/>
          </w:tcPr>
          <w:p w14:paraId="3B8DB829" w14:textId="77777777" w:rsidR="002E0F7F" w:rsidRPr="005B06AD" w:rsidRDefault="0079706B">
            <w:pPr>
              <w:pStyle w:val="TableParagraph"/>
              <w:spacing w:before="76"/>
            </w:pPr>
            <w:r w:rsidRPr="005B06AD">
              <w:rPr>
                <w:w w:val="95"/>
              </w:rPr>
              <w:t>2017</w:t>
            </w:r>
          </w:p>
        </w:tc>
        <w:tc>
          <w:tcPr>
            <w:tcW w:w="738" w:type="dxa"/>
          </w:tcPr>
          <w:p w14:paraId="46DEC3ED" w14:textId="77777777" w:rsidR="002E0F7F" w:rsidRPr="005B06AD" w:rsidRDefault="0079706B">
            <w:pPr>
              <w:pStyle w:val="TableParagraph"/>
              <w:spacing w:before="76"/>
            </w:pPr>
            <w:r w:rsidRPr="005B06AD">
              <w:rPr>
                <w:w w:val="95"/>
              </w:rPr>
              <w:t>3.93</w:t>
            </w:r>
          </w:p>
        </w:tc>
        <w:tc>
          <w:tcPr>
            <w:tcW w:w="980" w:type="dxa"/>
          </w:tcPr>
          <w:p w14:paraId="6B0F3C6D" w14:textId="77777777" w:rsidR="002E0F7F" w:rsidRPr="005B06AD" w:rsidRDefault="0079706B">
            <w:pPr>
              <w:pStyle w:val="TableParagraph"/>
              <w:spacing w:before="76"/>
            </w:pPr>
            <w:r w:rsidRPr="005B06AD">
              <w:rPr>
                <w:w w:val="99"/>
              </w:rPr>
              <w:t>1</w:t>
            </w:r>
          </w:p>
        </w:tc>
        <w:tc>
          <w:tcPr>
            <w:tcW w:w="1701" w:type="dxa"/>
            <w:tcBorders>
              <w:right w:val="single" w:sz="4" w:space="0" w:color="000000"/>
            </w:tcBorders>
          </w:tcPr>
          <w:p w14:paraId="428E1FED" w14:textId="77777777" w:rsidR="002E0F7F" w:rsidRPr="005B06AD" w:rsidRDefault="0079706B">
            <w:pPr>
              <w:pStyle w:val="TableParagraph"/>
              <w:spacing w:before="76"/>
              <w:ind w:right="67"/>
            </w:pPr>
            <w:r w:rsidRPr="005B06AD">
              <w:rPr>
                <w:w w:val="95"/>
              </w:rPr>
              <w:t>39</w:t>
            </w:r>
          </w:p>
        </w:tc>
      </w:tr>
      <w:tr w:rsidR="005B06AD" w:rsidRPr="005B06AD" w14:paraId="0C7523A9" w14:textId="77777777" w:rsidTr="00DB1E83">
        <w:trPr>
          <w:trHeight w:val="461"/>
        </w:trPr>
        <w:tc>
          <w:tcPr>
            <w:tcW w:w="5138" w:type="dxa"/>
            <w:tcBorders>
              <w:left w:val="single" w:sz="4" w:space="0" w:color="000000"/>
            </w:tcBorders>
          </w:tcPr>
          <w:p w14:paraId="7A79D84D" w14:textId="77777777" w:rsidR="002E0F7F" w:rsidRPr="005B06AD" w:rsidRDefault="0028443C" w:rsidP="0028443C">
            <w:pPr>
              <w:pStyle w:val="TableParagraph"/>
              <w:spacing w:before="76"/>
              <w:ind w:left="79" w:right="0"/>
              <w:jc w:val="left"/>
              <w:rPr>
                <w:lang w:val="it-IT"/>
              </w:rPr>
            </w:pPr>
            <w:r w:rsidRPr="005B06AD">
              <w:rPr>
                <w:lang w:val="it-IT"/>
              </w:rPr>
              <w:t>P</w:t>
            </w:r>
            <w:r w:rsidR="0079706B" w:rsidRPr="005B06AD">
              <w:rPr>
                <w:lang w:val="it-IT"/>
              </w:rPr>
              <w:t>rodu</w:t>
            </w:r>
            <w:r w:rsidRPr="005B06AD">
              <w:rPr>
                <w:lang w:val="it-IT"/>
              </w:rPr>
              <w:t>z</w:t>
            </w:r>
            <w:r w:rsidR="0079706B" w:rsidRPr="005B06AD">
              <w:rPr>
                <w:lang w:val="it-IT"/>
              </w:rPr>
              <w:t>ion</w:t>
            </w:r>
            <w:r w:rsidRPr="005B06AD">
              <w:rPr>
                <w:lang w:val="it-IT"/>
              </w:rPr>
              <w:t>e di</w:t>
            </w:r>
            <w:r w:rsidR="0079706B" w:rsidRPr="005B06AD">
              <w:rPr>
                <w:lang w:val="it-IT"/>
              </w:rPr>
              <w:t xml:space="preserve"> </w:t>
            </w:r>
            <w:r w:rsidRPr="005B06AD">
              <w:rPr>
                <w:lang w:val="it-IT"/>
              </w:rPr>
              <w:t xml:space="preserve">carne pro-capite </w:t>
            </w:r>
            <w:r w:rsidR="0079706B" w:rsidRPr="005B06AD">
              <w:rPr>
                <w:lang w:val="it-IT"/>
              </w:rPr>
              <w:t>(kg/</w:t>
            </w:r>
            <w:r w:rsidRPr="005B06AD">
              <w:rPr>
                <w:lang w:val="it-IT"/>
              </w:rPr>
              <w:t>anno</w:t>
            </w:r>
            <w:r w:rsidR="0079706B" w:rsidRPr="005B06AD">
              <w:rPr>
                <w:lang w:val="it-IT"/>
              </w:rPr>
              <w:t>)</w:t>
            </w:r>
          </w:p>
        </w:tc>
        <w:tc>
          <w:tcPr>
            <w:tcW w:w="692" w:type="dxa"/>
          </w:tcPr>
          <w:p w14:paraId="2F6C0B51" w14:textId="77777777" w:rsidR="002E0F7F" w:rsidRPr="005B06AD" w:rsidRDefault="0079706B">
            <w:pPr>
              <w:pStyle w:val="TableParagraph"/>
              <w:spacing w:before="76"/>
            </w:pPr>
            <w:r w:rsidRPr="005B06AD">
              <w:rPr>
                <w:w w:val="95"/>
              </w:rPr>
              <w:t>2017</w:t>
            </w:r>
          </w:p>
        </w:tc>
        <w:tc>
          <w:tcPr>
            <w:tcW w:w="738" w:type="dxa"/>
          </w:tcPr>
          <w:p w14:paraId="5EFAFA51" w14:textId="77777777" w:rsidR="002E0F7F" w:rsidRPr="005B06AD" w:rsidRDefault="0079706B">
            <w:pPr>
              <w:pStyle w:val="TableParagraph"/>
              <w:spacing w:before="76"/>
            </w:pPr>
            <w:r w:rsidRPr="005B06AD">
              <w:rPr>
                <w:w w:val="95"/>
              </w:rPr>
              <w:t>44.3</w:t>
            </w:r>
          </w:p>
        </w:tc>
        <w:tc>
          <w:tcPr>
            <w:tcW w:w="980" w:type="dxa"/>
          </w:tcPr>
          <w:p w14:paraId="5D61D1BC" w14:textId="77777777" w:rsidR="002E0F7F" w:rsidRPr="005B06AD" w:rsidRDefault="0079706B">
            <w:pPr>
              <w:pStyle w:val="TableParagraph"/>
              <w:spacing w:before="76"/>
            </w:pPr>
            <w:r w:rsidRPr="005B06AD">
              <w:rPr>
                <w:w w:val="99"/>
              </w:rPr>
              <w:t>1</w:t>
            </w:r>
          </w:p>
        </w:tc>
        <w:tc>
          <w:tcPr>
            <w:tcW w:w="1701" w:type="dxa"/>
            <w:tcBorders>
              <w:right w:val="single" w:sz="4" w:space="0" w:color="000000"/>
            </w:tcBorders>
          </w:tcPr>
          <w:p w14:paraId="0CB8111C" w14:textId="77777777" w:rsidR="002E0F7F" w:rsidRPr="005B06AD" w:rsidRDefault="0079706B">
            <w:pPr>
              <w:pStyle w:val="TableParagraph"/>
              <w:spacing w:before="76"/>
              <w:ind w:right="67"/>
            </w:pPr>
            <w:r w:rsidRPr="005B06AD">
              <w:rPr>
                <w:w w:val="95"/>
              </w:rPr>
              <w:t>39</w:t>
            </w:r>
          </w:p>
        </w:tc>
      </w:tr>
      <w:tr w:rsidR="005B06AD" w:rsidRPr="005B06AD" w14:paraId="0C538790" w14:textId="77777777" w:rsidTr="00DB1E83">
        <w:trPr>
          <w:trHeight w:val="461"/>
        </w:trPr>
        <w:tc>
          <w:tcPr>
            <w:tcW w:w="5138" w:type="dxa"/>
            <w:tcBorders>
              <w:left w:val="single" w:sz="4" w:space="0" w:color="000000"/>
            </w:tcBorders>
          </w:tcPr>
          <w:p w14:paraId="04E5BEA0" w14:textId="1D9C1F5F" w:rsidR="002E0F7F" w:rsidRPr="005B06AD" w:rsidRDefault="0028443C" w:rsidP="0028443C">
            <w:pPr>
              <w:pStyle w:val="TableParagraph"/>
              <w:spacing w:before="76"/>
              <w:ind w:left="79" w:right="0"/>
              <w:jc w:val="left"/>
              <w:rPr>
                <w:lang w:val="it-IT"/>
              </w:rPr>
            </w:pPr>
            <w:r w:rsidRPr="005B06AD">
              <w:rPr>
                <w:lang w:val="it-IT"/>
              </w:rPr>
              <w:t>PIL mondiale (</w:t>
            </w:r>
            <w:r w:rsidR="001F4DBB" w:rsidRPr="005B06AD">
              <w:rPr>
                <w:lang w:val="it-IT"/>
              </w:rPr>
              <w:t>migliaia di miliardi</w:t>
            </w:r>
            <w:r w:rsidRPr="005B06AD">
              <w:rPr>
                <w:lang w:val="it-IT"/>
              </w:rPr>
              <w:t xml:space="preserve"> di </w:t>
            </w:r>
            <w:r w:rsidR="001F4DBB" w:rsidRPr="005B06AD">
              <w:rPr>
                <w:lang w:val="it-IT"/>
              </w:rPr>
              <w:t>dollari USA 2018</w:t>
            </w:r>
            <w:r w:rsidRPr="005B06AD">
              <w:rPr>
                <w:lang w:val="it-IT"/>
              </w:rPr>
              <w:t>/anno</w:t>
            </w:r>
            <w:r w:rsidR="0079706B" w:rsidRPr="005B06AD">
              <w:rPr>
                <w:lang w:val="it-IT"/>
              </w:rPr>
              <w:t>)</w:t>
            </w:r>
          </w:p>
        </w:tc>
        <w:tc>
          <w:tcPr>
            <w:tcW w:w="692" w:type="dxa"/>
          </w:tcPr>
          <w:p w14:paraId="7CCEA463" w14:textId="77777777" w:rsidR="002E0F7F" w:rsidRPr="005B06AD" w:rsidRDefault="0079706B">
            <w:pPr>
              <w:pStyle w:val="TableParagraph"/>
              <w:spacing w:before="76"/>
            </w:pPr>
            <w:r w:rsidRPr="005B06AD">
              <w:rPr>
                <w:w w:val="95"/>
              </w:rPr>
              <w:t>2018</w:t>
            </w:r>
          </w:p>
        </w:tc>
        <w:tc>
          <w:tcPr>
            <w:tcW w:w="738" w:type="dxa"/>
          </w:tcPr>
          <w:p w14:paraId="1E8566DF" w14:textId="77777777" w:rsidR="002E0F7F" w:rsidRPr="005B06AD" w:rsidRDefault="0079706B">
            <w:pPr>
              <w:pStyle w:val="TableParagraph"/>
              <w:spacing w:before="76"/>
            </w:pPr>
            <w:r w:rsidRPr="005B06AD">
              <w:rPr>
                <w:w w:val="95"/>
              </w:rPr>
              <w:t>85.8</w:t>
            </w:r>
          </w:p>
        </w:tc>
        <w:tc>
          <w:tcPr>
            <w:tcW w:w="980" w:type="dxa"/>
          </w:tcPr>
          <w:p w14:paraId="7EC84B0E" w14:textId="77777777" w:rsidR="002E0F7F" w:rsidRPr="005B06AD" w:rsidRDefault="0079706B">
            <w:pPr>
              <w:pStyle w:val="TableParagraph"/>
              <w:spacing w:before="76"/>
            </w:pPr>
            <w:r w:rsidRPr="005B06AD">
              <w:rPr>
                <w:w w:val="99"/>
              </w:rPr>
              <w:t>1</w:t>
            </w:r>
          </w:p>
        </w:tc>
        <w:tc>
          <w:tcPr>
            <w:tcW w:w="1701" w:type="dxa"/>
            <w:tcBorders>
              <w:right w:val="single" w:sz="4" w:space="0" w:color="000000"/>
            </w:tcBorders>
          </w:tcPr>
          <w:p w14:paraId="64F45451" w14:textId="77777777" w:rsidR="002E0F7F" w:rsidRPr="005B06AD" w:rsidRDefault="0079706B">
            <w:pPr>
              <w:pStyle w:val="TableParagraph"/>
              <w:spacing w:before="76"/>
              <w:ind w:right="67"/>
            </w:pPr>
            <w:r w:rsidRPr="005B06AD">
              <w:rPr>
                <w:w w:val="95"/>
              </w:rPr>
              <w:t>40</w:t>
            </w:r>
          </w:p>
        </w:tc>
      </w:tr>
      <w:tr w:rsidR="005B06AD" w:rsidRPr="005B06AD" w14:paraId="7771450F" w14:textId="77777777" w:rsidTr="00DB1E83">
        <w:trPr>
          <w:trHeight w:val="462"/>
        </w:trPr>
        <w:tc>
          <w:tcPr>
            <w:tcW w:w="5138" w:type="dxa"/>
            <w:tcBorders>
              <w:left w:val="single" w:sz="4" w:space="0" w:color="000000"/>
            </w:tcBorders>
          </w:tcPr>
          <w:p w14:paraId="7B845482" w14:textId="674064C8" w:rsidR="002E0F7F" w:rsidRPr="005B06AD" w:rsidRDefault="00917C9D" w:rsidP="0028443C">
            <w:pPr>
              <w:pStyle w:val="TableParagraph"/>
              <w:spacing w:before="76"/>
              <w:ind w:left="79" w:right="0"/>
              <w:jc w:val="left"/>
              <w:rPr>
                <w:lang w:val="it-IT"/>
              </w:rPr>
            </w:pPr>
            <w:r w:rsidRPr="005B06AD">
              <w:rPr>
                <w:lang w:val="it-IT"/>
              </w:rPr>
              <w:t>Deforestazione</w:t>
            </w:r>
            <w:r w:rsidR="0028443C" w:rsidRPr="005B06AD">
              <w:rPr>
                <w:lang w:val="it-IT"/>
              </w:rPr>
              <w:t xml:space="preserve"> globale (mil</w:t>
            </w:r>
            <w:r w:rsidR="0079706B" w:rsidRPr="005B06AD">
              <w:rPr>
                <w:lang w:val="it-IT"/>
              </w:rPr>
              <w:t>ion</w:t>
            </w:r>
            <w:r w:rsidR="0028443C" w:rsidRPr="005B06AD">
              <w:rPr>
                <w:lang w:val="it-IT"/>
              </w:rPr>
              <w:t>i di</w:t>
            </w:r>
            <w:r w:rsidR="0079706B" w:rsidRPr="005B06AD">
              <w:rPr>
                <w:lang w:val="it-IT"/>
              </w:rPr>
              <w:t xml:space="preserve"> </w:t>
            </w:r>
            <w:r w:rsidR="0028443C" w:rsidRPr="005B06AD">
              <w:rPr>
                <w:lang w:val="it-IT"/>
              </w:rPr>
              <w:t>ett</w:t>
            </w:r>
            <w:r w:rsidR="0079706B" w:rsidRPr="005B06AD">
              <w:rPr>
                <w:lang w:val="it-IT"/>
              </w:rPr>
              <w:t>ar</w:t>
            </w:r>
            <w:r w:rsidR="0028443C" w:rsidRPr="005B06AD">
              <w:rPr>
                <w:lang w:val="it-IT"/>
              </w:rPr>
              <w:t>i</w:t>
            </w:r>
            <w:r w:rsidR="0079706B" w:rsidRPr="005B06AD">
              <w:rPr>
                <w:lang w:val="it-IT"/>
              </w:rPr>
              <w:t>/</w:t>
            </w:r>
            <w:r w:rsidR="0028443C" w:rsidRPr="005B06AD">
              <w:rPr>
                <w:lang w:val="it-IT"/>
              </w:rPr>
              <w:t>anno</w:t>
            </w:r>
            <w:r w:rsidR="0079706B" w:rsidRPr="005B06AD">
              <w:rPr>
                <w:lang w:val="it-IT"/>
              </w:rPr>
              <w:t>)</w:t>
            </w:r>
          </w:p>
        </w:tc>
        <w:tc>
          <w:tcPr>
            <w:tcW w:w="692" w:type="dxa"/>
          </w:tcPr>
          <w:p w14:paraId="1EAAFE15" w14:textId="77777777" w:rsidR="002E0F7F" w:rsidRPr="005B06AD" w:rsidRDefault="0079706B">
            <w:pPr>
              <w:pStyle w:val="TableParagraph"/>
              <w:spacing w:before="76"/>
            </w:pPr>
            <w:r w:rsidRPr="005B06AD">
              <w:rPr>
                <w:w w:val="95"/>
              </w:rPr>
              <w:t>2018</w:t>
            </w:r>
          </w:p>
        </w:tc>
        <w:tc>
          <w:tcPr>
            <w:tcW w:w="738" w:type="dxa"/>
          </w:tcPr>
          <w:p w14:paraId="20E2330A" w14:textId="77777777" w:rsidR="002E0F7F" w:rsidRPr="005B06AD" w:rsidRDefault="0079706B">
            <w:pPr>
              <w:pStyle w:val="TableParagraph"/>
              <w:spacing w:before="76"/>
            </w:pPr>
            <w:r w:rsidRPr="005B06AD">
              <w:rPr>
                <w:w w:val="95"/>
              </w:rPr>
              <w:t>24.8</w:t>
            </w:r>
          </w:p>
        </w:tc>
        <w:tc>
          <w:tcPr>
            <w:tcW w:w="980" w:type="dxa"/>
          </w:tcPr>
          <w:p w14:paraId="20CCBE15" w14:textId="77777777" w:rsidR="002E0F7F" w:rsidRPr="005B06AD" w:rsidRDefault="0079706B">
            <w:pPr>
              <w:pStyle w:val="TableParagraph"/>
              <w:spacing w:before="76"/>
            </w:pPr>
            <w:r w:rsidRPr="005B06AD">
              <w:rPr>
                <w:w w:val="99"/>
              </w:rPr>
              <w:t>3</w:t>
            </w:r>
          </w:p>
        </w:tc>
        <w:tc>
          <w:tcPr>
            <w:tcW w:w="1701" w:type="dxa"/>
            <w:tcBorders>
              <w:right w:val="single" w:sz="4" w:space="0" w:color="000000"/>
            </w:tcBorders>
          </w:tcPr>
          <w:p w14:paraId="69A4EEFD" w14:textId="77777777" w:rsidR="002E0F7F" w:rsidRPr="005B06AD" w:rsidRDefault="0079706B">
            <w:pPr>
              <w:pStyle w:val="TableParagraph"/>
              <w:spacing w:before="76"/>
              <w:ind w:right="67"/>
            </w:pPr>
            <w:r w:rsidRPr="005B06AD">
              <w:rPr>
                <w:w w:val="95"/>
              </w:rPr>
              <w:t>18</w:t>
            </w:r>
          </w:p>
        </w:tc>
      </w:tr>
      <w:tr w:rsidR="005B06AD" w:rsidRPr="005B06AD" w14:paraId="756BDAAF" w14:textId="77777777" w:rsidTr="00DB1E83">
        <w:trPr>
          <w:trHeight w:val="462"/>
        </w:trPr>
        <w:tc>
          <w:tcPr>
            <w:tcW w:w="5138" w:type="dxa"/>
            <w:tcBorders>
              <w:left w:val="single" w:sz="4" w:space="0" w:color="000000"/>
            </w:tcBorders>
          </w:tcPr>
          <w:p w14:paraId="4F7358E5" w14:textId="09395C26" w:rsidR="002E0F7F" w:rsidRPr="005B06AD" w:rsidRDefault="00917C9D" w:rsidP="0028443C">
            <w:pPr>
              <w:pStyle w:val="TableParagraph"/>
              <w:spacing w:before="76"/>
              <w:ind w:left="79" w:right="0"/>
              <w:jc w:val="left"/>
              <w:rPr>
                <w:lang w:val="it-IT"/>
              </w:rPr>
            </w:pPr>
            <w:r w:rsidRPr="005B06AD">
              <w:rPr>
                <w:lang w:val="it-IT"/>
              </w:rPr>
              <w:t>D</w:t>
            </w:r>
            <w:r w:rsidR="00DB1E83" w:rsidRPr="005B06AD">
              <w:rPr>
                <w:lang w:val="it-IT"/>
              </w:rPr>
              <w:t>e</w:t>
            </w:r>
            <w:r w:rsidRPr="005B06AD">
              <w:rPr>
                <w:lang w:val="it-IT"/>
              </w:rPr>
              <w:t>forestazione</w:t>
            </w:r>
            <w:r w:rsidR="0028443C" w:rsidRPr="005B06AD">
              <w:rPr>
                <w:lang w:val="it-IT"/>
              </w:rPr>
              <w:t xml:space="preserve"> </w:t>
            </w:r>
            <w:r w:rsidRPr="005B06AD">
              <w:rPr>
                <w:lang w:val="it-IT"/>
              </w:rPr>
              <w:t>n</w:t>
            </w:r>
            <w:r w:rsidR="0028443C" w:rsidRPr="005B06AD">
              <w:rPr>
                <w:lang w:val="it-IT"/>
              </w:rPr>
              <w:t xml:space="preserve">ella foresta Amazzonica </w:t>
            </w:r>
            <w:r w:rsidRPr="005B06AD">
              <w:rPr>
                <w:lang w:val="it-IT"/>
              </w:rPr>
              <w:t>b</w:t>
            </w:r>
            <w:r w:rsidR="0079706B" w:rsidRPr="005B06AD">
              <w:rPr>
                <w:lang w:val="it-IT"/>
              </w:rPr>
              <w:t>ra</w:t>
            </w:r>
            <w:r w:rsidR="0028443C" w:rsidRPr="005B06AD">
              <w:rPr>
                <w:lang w:val="it-IT"/>
              </w:rPr>
              <w:t>s</w:t>
            </w:r>
            <w:r w:rsidR="0079706B" w:rsidRPr="005B06AD">
              <w:rPr>
                <w:lang w:val="it-IT"/>
              </w:rPr>
              <w:t>ilian</w:t>
            </w:r>
            <w:r w:rsidR="0028443C" w:rsidRPr="005B06AD">
              <w:rPr>
                <w:lang w:val="it-IT"/>
              </w:rPr>
              <w:t>a</w:t>
            </w:r>
            <w:r w:rsidR="0079706B" w:rsidRPr="005B06AD">
              <w:rPr>
                <w:lang w:val="it-IT"/>
              </w:rPr>
              <w:t xml:space="preserve"> (milion</w:t>
            </w:r>
            <w:r w:rsidR="0028443C" w:rsidRPr="005B06AD">
              <w:rPr>
                <w:lang w:val="it-IT"/>
              </w:rPr>
              <w:t>i</w:t>
            </w:r>
            <w:r w:rsidR="0079706B" w:rsidRPr="005B06AD">
              <w:rPr>
                <w:lang w:val="it-IT"/>
              </w:rPr>
              <w:t xml:space="preserve"> </w:t>
            </w:r>
            <w:r w:rsidR="0028443C" w:rsidRPr="005B06AD">
              <w:rPr>
                <w:lang w:val="it-IT"/>
              </w:rPr>
              <w:t>di et</w:t>
            </w:r>
            <w:r w:rsidR="0079706B" w:rsidRPr="005B06AD">
              <w:rPr>
                <w:lang w:val="it-IT"/>
              </w:rPr>
              <w:t>tar</w:t>
            </w:r>
            <w:r w:rsidR="0028443C" w:rsidRPr="005B06AD">
              <w:rPr>
                <w:lang w:val="it-IT"/>
              </w:rPr>
              <w:t>i</w:t>
            </w:r>
            <w:r w:rsidR="0079706B" w:rsidRPr="005B06AD">
              <w:rPr>
                <w:lang w:val="it-IT"/>
              </w:rPr>
              <w:t>/</w:t>
            </w:r>
            <w:r w:rsidR="0028443C" w:rsidRPr="005B06AD">
              <w:rPr>
                <w:lang w:val="it-IT"/>
              </w:rPr>
              <w:t>anno</w:t>
            </w:r>
            <w:r w:rsidR="0079706B" w:rsidRPr="005B06AD">
              <w:rPr>
                <w:lang w:val="it-IT"/>
              </w:rPr>
              <w:t>)</w:t>
            </w:r>
          </w:p>
        </w:tc>
        <w:tc>
          <w:tcPr>
            <w:tcW w:w="692" w:type="dxa"/>
          </w:tcPr>
          <w:p w14:paraId="17261A31" w14:textId="77777777" w:rsidR="002E0F7F" w:rsidRPr="005B06AD" w:rsidRDefault="0079706B">
            <w:pPr>
              <w:pStyle w:val="TableParagraph"/>
              <w:spacing w:before="76"/>
            </w:pPr>
            <w:r w:rsidRPr="005B06AD">
              <w:rPr>
                <w:w w:val="95"/>
              </w:rPr>
              <w:t>2018</w:t>
            </w:r>
          </w:p>
        </w:tc>
        <w:tc>
          <w:tcPr>
            <w:tcW w:w="738" w:type="dxa"/>
          </w:tcPr>
          <w:p w14:paraId="2BC78AD7" w14:textId="77777777" w:rsidR="002E0F7F" w:rsidRPr="005B06AD" w:rsidRDefault="0079706B">
            <w:pPr>
              <w:pStyle w:val="TableParagraph"/>
              <w:spacing w:before="76"/>
            </w:pPr>
            <w:r w:rsidRPr="005B06AD">
              <w:rPr>
                <w:w w:val="95"/>
              </w:rPr>
              <w:t>0.79</w:t>
            </w:r>
          </w:p>
        </w:tc>
        <w:tc>
          <w:tcPr>
            <w:tcW w:w="980" w:type="dxa"/>
          </w:tcPr>
          <w:p w14:paraId="2126270F" w14:textId="77777777" w:rsidR="002E0F7F" w:rsidRPr="005B06AD" w:rsidRDefault="0079706B">
            <w:pPr>
              <w:pStyle w:val="TableParagraph"/>
              <w:spacing w:before="76"/>
              <w:ind w:right="100"/>
            </w:pPr>
            <w:r w:rsidRPr="005B06AD">
              <w:rPr>
                <w:w w:val="95"/>
              </w:rPr>
              <w:t>22</w:t>
            </w:r>
          </w:p>
        </w:tc>
        <w:tc>
          <w:tcPr>
            <w:tcW w:w="1701" w:type="dxa"/>
            <w:tcBorders>
              <w:right w:val="single" w:sz="4" w:space="0" w:color="000000"/>
            </w:tcBorders>
          </w:tcPr>
          <w:p w14:paraId="4FB532D4" w14:textId="77777777" w:rsidR="002E0F7F" w:rsidRPr="005B06AD" w:rsidRDefault="0079706B">
            <w:pPr>
              <w:pStyle w:val="TableParagraph"/>
              <w:spacing w:before="76"/>
              <w:ind w:right="67"/>
            </w:pPr>
            <w:r w:rsidRPr="005B06AD">
              <w:rPr>
                <w:w w:val="95"/>
              </w:rPr>
              <w:t>31</w:t>
            </w:r>
          </w:p>
        </w:tc>
      </w:tr>
      <w:tr w:rsidR="005B06AD" w:rsidRPr="005B06AD" w14:paraId="019D3A66" w14:textId="77777777" w:rsidTr="00DB1E83">
        <w:trPr>
          <w:trHeight w:val="461"/>
        </w:trPr>
        <w:tc>
          <w:tcPr>
            <w:tcW w:w="5138" w:type="dxa"/>
            <w:tcBorders>
              <w:left w:val="single" w:sz="4" w:space="0" w:color="000000"/>
            </w:tcBorders>
          </w:tcPr>
          <w:p w14:paraId="45B16C73" w14:textId="5317AD58" w:rsidR="002E0F7F" w:rsidRPr="005B06AD" w:rsidRDefault="0028443C" w:rsidP="0028443C">
            <w:pPr>
              <w:pStyle w:val="TableParagraph"/>
              <w:spacing w:before="76"/>
              <w:ind w:left="79" w:right="0"/>
              <w:jc w:val="left"/>
              <w:rPr>
                <w:lang w:val="it-IT"/>
              </w:rPr>
            </w:pPr>
            <w:r w:rsidRPr="005B06AD">
              <w:rPr>
                <w:lang w:val="it-IT"/>
              </w:rPr>
              <w:t xml:space="preserve">Consumo di carbone </w:t>
            </w:r>
            <w:r w:rsidR="0079706B" w:rsidRPr="005B06AD">
              <w:rPr>
                <w:lang w:val="it-IT"/>
              </w:rPr>
              <w:t>(</w:t>
            </w:r>
            <w:r w:rsidR="00917C9D" w:rsidRPr="005B06AD">
              <w:rPr>
                <w:lang w:val="it-IT"/>
              </w:rPr>
              <w:t>miliardi di tonnellate</w:t>
            </w:r>
            <w:r w:rsidRPr="005B06AD">
              <w:rPr>
                <w:lang w:val="it-IT"/>
              </w:rPr>
              <w:t xml:space="preserve"> di petrolio </w:t>
            </w:r>
            <w:r w:rsidR="0079706B" w:rsidRPr="005B06AD">
              <w:rPr>
                <w:lang w:val="it-IT"/>
              </w:rPr>
              <w:t>equivalent</w:t>
            </w:r>
            <w:r w:rsidRPr="005B06AD">
              <w:rPr>
                <w:lang w:val="it-IT"/>
              </w:rPr>
              <w:t>e</w:t>
            </w:r>
            <w:r w:rsidR="0079706B" w:rsidRPr="005B06AD">
              <w:rPr>
                <w:lang w:val="it-IT"/>
              </w:rPr>
              <w:t>/</w:t>
            </w:r>
            <w:r w:rsidRPr="005B06AD">
              <w:rPr>
                <w:lang w:val="it-IT"/>
              </w:rPr>
              <w:t>anno</w:t>
            </w:r>
            <w:r w:rsidR="0079706B" w:rsidRPr="005B06AD">
              <w:rPr>
                <w:lang w:val="it-IT"/>
              </w:rPr>
              <w:t>)</w:t>
            </w:r>
          </w:p>
        </w:tc>
        <w:tc>
          <w:tcPr>
            <w:tcW w:w="692" w:type="dxa"/>
          </w:tcPr>
          <w:p w14:paraId="429A61CD" w14:textId="77777777" w:rsidR="002E0F7F" w:rsidRPr="005B06AD" w:rsidRDefault="0079706B">
            <w:pPr>
              <w:pStyle w:val="TableParagraph"/>
              <w:spacing w:before="76"/>
            </w:pPr>
            <w:r w:rsidRPr="005B06AD">
              <w:rPr>
                <w:w w:val="95"/>
              </w:rPr>
              <w:t>2018</w:t>
            </w:r>
          </w:p>
        </w:tc>
        <w:tc>
          <w:tcPr>
            <w:tcW w:w="738" w:type="dxa"/>
          </w:tcPr>
          <w:p w14:paraId="37A6D023" w14:textId="77777777" w:rsidR="002E0F7F" w:rsidRPr="005B06AD" w:rsidRDefault="0079706B">
            <w:pPr>
              <w:pStyle w:val="TableParagraph"/>
              <w:spacing w:before="76"/>
            </w:pPr>
            <w:r w:rsidRPr="005B06AD">
              <w:rPr>
                <w:w w:val="95"/>
              </w:rPr>
              <w:t>3.77</w:t>
            </w:r>
          </w:p>
        </w:tc>
        <w:tc>
          <w:tcPr>
            <w:tcW w:w="980" w:type="dxa"/>
          </w:tcPr>
          <w:p w14:paraId="158BA051" w14:textId="77777777" w:rsidR="002E0F7F" w:rsidRPr="005B06AD" w:rsidRDefault="0079706B">
            <w:pPr>
              <w:pStyle w:val="TableParagraph"/>
              <w:spacing w:before="76"/>
            </w:pPr>
            <w:r w:rsidRPr="005B06AD">
              <w:rPr>
                <w:w w:val="99"/>
              </w:rPr>
              <w:t>5</w:t>
            </w:r>
          </w:p>
        </w:tc>
        <w:tc>
          <w:tcPr>
            <w:tcW w:w="1701" w:type="dxa"/>
            <w:tcBorders>
              <w:right w:val="single" w:sz="4" w:space="0" w:color="000000"/>
            </w:tcBorders>
          </w:tcPr>
          <w:p w14:paraId="2891EF7C" w14:textId="77777777" w:rsidR="002E0F7F" w:rsidRPr="005B06AD" w:rsidRDefault="0079706B">
            <w:pPr>
              <w:pStyle w:val="TableParagraph"/>
              <w:spacing w:before="76"/>
              <w:ind w:right="67"/>
            </w:pPr>
            <w:r w:rsidRPr="005B06AD">
              <w:rPr>
                <w:w w:val="95"/>
              </w:rPr>
              <w:t>40</w:t>
            </w:r>
          </w:p>
        </w:tc>
      </w:tr>
      <w:tr w:rsidR="005B06AD" w:rsidRPr="005B06AD" w14:paraId="27A9BA26" w14:textId="77777777" w:rsidTr="00DB1E83">
        <w:trPr>
          <w:trHeight w:val="462"/>
        </w:trPr>
        <w:tc>
          <w:tcPr>
            <w:tcW w:w="5138" w:type="dxa"/>
            <w:tcBorders>
              <w:left w:val="single" w:sz="4" w:space="0" w:color="000000"/>
            </w:tcBorders>
          </w:tcPr>
          <w:p w14:paraId="07D60013" w14:textId="1018E652" w:rsidR="002E0F7F" w:rsidRPr="005B06AD" w:rsidRDefault="0028443C" w:rsidP="00B35D05">
            <w:pPr>
              <w:pStyle w:val="TableParagraph"/>
              <w:spacing w:before="76"/>
              <w:ind w:left="79" w:right="0"/>
              <w:jc w:val="left"/>
              <w:rPr>
                <w:lang w:val="it-IT"/>
              </w:rPr>
            </w:pPr>
            <w:r w:rsidRPr="005B06AD">
              <w:rPr>
                <w:lang w:val="it-IT"/>
              </w:rPr>
              <w:t>Consum</w:t>
            </w:r>
            <w:r w:rsidR="00B35D05" w:rsidRPr="005B06AD">
              <w:rPr>
                <w:lang w:val="it-IT"/>
              </w:rPr>
              <w:t>o</w:t>
            </w:r>
            <w:r w:rsidRPr="005B06AD">
              <w:rPr>
                <w:lang w:val="it-IT"/>
              </w:rPr>
              <w:t xml:space="preserve"> di petrolio </w:t>
            </w:r>
            <w:r w:rsidR="0079706B" w:rsidRPr="005B06AD">
              <w:rPr>
                <w:lang w:val="it-IT"/>
              </w:rPr>
              <w:t>(</w:t>
            </w:r>
            <w:r w:rsidR="00917C9D" w:rsidRPr="005B06AD">
              <w:rPr>
                <w:lang w:val="it-IT"/>
              </w:rPr>
              <w:t xml:space="preserve">miliardi di tonnellate </w:t>
            </w:r>
            <w:r w:rsidRPr="005B06AD">
              <w:rPr>
                <w:lang w:val="it-IT"/>
              </w:rPr>
              <w:t>di petrolio equivalente</w:t>
            </w:r>
            <w:r w:rsidR="0079706B" w:rsidRPr="005B06AD">
              <w:rPr>
                <w:lang w:val="it-IT"/>
              </w:rPr>
              <w:t>/</w:t>
            </w:r>
            <w:r w:rsidRPr="005B06AD">
              <w:rPr>
                <w:lang w:val="it-IT"/>
              </w:rPr>
              <w:t>anno</w:t>
            </w:r>
            <w:r w:rsidR="0079706B" w:rsidRPr="005B06AD">
              <w:rPr>
                <w:lang w:val="it-IT"/>
              </w:rPr>
              <w:t>)</w:t>
            </w:r>
          </w:p>
        </w:tc>
        <w:tc>
          <w:tcPr>
            <w:tcW w:w="692" w:type="dxa"/>
          </w:tcPr>
          <w:p w14:paraId="37CD820A" w14:textId="77777777" w:rsidR="002E0F7F" w:rsidRPr="005B06AD" w:rsidRDefault="0079706B">
            <w:pPr>
              <w:pStyle w:val="TableParagraph"/>
              <w:spacing w:before="76"/>
            </w:pPr>
            <w:r w:rsidRPr="005B06AD">
              <w:rPr>
                <w:w w:val="95"/>
              </w:rPr>
              <w:t>2018</w:t>
            </w:r>
          </w:p>
        </w:tc>
        <w:tc>
          <w:tcPr>
            <w:tcW w:w="738" w:type="dxa"/>
          </w:tcPr>
          <w:p w14:paraId="62029442" w14:textId="77777777" w:rsidR="002E0F7F" w:rsidRPr="005B06AD" w:rsidRDefault="0079706B">
            <w:pPr>
              <w:pStyle w:val="TableParagraph"/>
              <w:spacing w:before="76"/>
            </w:pPr>
            <w:r w:rsidRPr="005B06AD">
              <w:rPr>
                <w:w w:val="95"/>
              </w:rPr>
              <w:t>4.66</w:t>
            </w:r>
          </w:p>
        </w:tc>
        <w:tc>
          <w:tcPr>
            <w:tcW w:w="980" w:type="dxa"/>
          </w:tcPr>
          <w:p w14:paraId="17FE893C" w14:textId="77777777" w:rsidR="002E0F7F" w:rsidRPr="005B06AD" w:rsidRDefault="0079706B">
            <w:pPr>
              <w:pStyle w:val="TableParagraph"/>
              <w:spacing w:before="76"/>
            </w:pPr>
            <w:r w:rsidRPr="005B06AD">
              <w:rPr>
                <w:w w:val="99"/>
              </w:rPr>
              <w:t>1</w:t>
            </w:r>
          </w:p>
        </w:tc>
        <w:tc>
          <w:tcPr>
            <w:tcW w:w="1701" w:type="dxa"/>
            <w:tcBorders>
              <w:right w:val="single" w:sz="4" w:space="0" w:color="000000"/>
            </w:tcBorders>
          </w:tcPr>
          <w:p w14:paraId="1AE393CC" w14:textId="77777777" w:rsidR="002E0F7F" w:rsidRPr="005B06AD" w:rsidRDefault="0079706B">
            <w:pPr>
              <w:pStyle w:val="TableParagraph"/>
              <w:spacing w:before="76"/>
              <w:ind w:right="67"/>
            </w:pPr>
            <w:r w:rsidRPr="005B06AD">
              <w:rPr>
                <w:w w:val="95"/>
              </w:rPr>
              <w:t>40</w:t>
            </w:r>
          </w:p>
        </w:tc>
      </w:tr>
      <w:tr w:rsidR="005B06AD" w:rsidRPr="005B06AD" w14:paraId="1F389EDA" w14:textId="77777777" w:rsidTr="00DB1E83">
        <w:trPr>
          <w:trHeight w:val="462"/>
        </w:trPr>
        <w:tc>
          <w:tcPr>
            <w:tcW w:w="5138" w:type="dxa"/>
            <w:tcBorders>
              <w:left w:val="single" w:sz="4" w:space="0" w:color="000000"/>
            </w:tcBorders>
          </w:tcPr>
          <w:p w14:paraId="355710C2" w14:textId="47614965" w:rsidR="002E0F7F" w:rsidRPr="005B06AD" w:rsidRDefault="0028443C" w:rsidP="0028443C">
            <w:pPr>
              <w:pStyle w:val="TableParagraph"/>
              <w:spacing w:before="76"/>
              <w:ind w:left="79" w:right="0"/>
              <w:jc w:val="left"/>
              <w:rPr>
                <w:lang w:val="it-IT"/>
              </w:rPr>
            </w:pPr>
            <w:r w:rsidRPr="005B06AD">
              <w:rPr>
                <w:lang w:val="it-IT"/>
              </w:rPr>
              <w:t xml:space="preserve">Consumo di gas naturale </w:t>
            </w:r>
            <w:r w:rsidR="0079706B" w:rsidRPr="005B06AD">
              <w:rPr>
                <w:lang w:val="it-IT"/>
              </w:rPr>
              <w:t>(</w:t>
            </w:r>
            <w:r w:rsidR="00917C9D" w:rsidRPr="005B06AD">
              <w:rPr>
                <w:lang w:val="it-IT"/>
              </w:rPr>
              <w:t xml:space="preserve">miliardi di tonnellate </w:t>
            </w:r>
            <w:r w:rsidRPr="005B06AD">
              <w:rPr>
                <w:lang w:val="it-IT"/>
              </w:rPr>
              <w:t>di petrolio equivalente</w:t>
            </w:r>
            <w:r w:rsidR="0079706B" w:rsidRPr="005B06AD">
              <w:rPr>
                <w:lang w:val="it-IT"/>
              </w:rPr>
              <w:t>/</w:t>
            </w:r>
            <w:r w:rsidRPr="005B06AD">
              <w:rPr>
                <w:lang w:val="it-IT"/>
              </w:rPr>
              <w:t>anno</w:t>
            </w:r>
            <w:r w:rsidR="0079706B" w:rsidRPr="005B06AD">
              <w:rPr>
                <w:lang w:val="it-IT"/>
              </w:rPr>
              <w:t>)</w:t>
            </w:r>
          </w:p>
        </w:tc>
        <w:tc>
          <w:tcPr>
            <w:tcW w:w="692" w:type="dxa"/>
          </w:tcPr>
          <w:p w14:paraId="682AAADB" w14:textId="77777777" w:rsidR="002E0F7F" w:rsidRPr="005B06AD" w:rsidRDefault="0079706B">
            <w:pPr>
              <w:pStyle w:val="TableParagraph"/>
              <w:spacing w:before="76"/>
            </w:pPr>
            <w:r w:rsidRPr="005B06AD">
              <w:rPr>
                <w:w w:val="95"/>
              </w:rPr>
              <w:t>2018</w:t>
            </w:r>
          </w:p>
        </w:tc>
        <w:tc>
          <w:tcPr>
            <w:tcW w:w="738" w:type="dxa"/>
          </w:tcPr>
          <w:p w14:paraId="47E97F3B" w14:textId="77777777" w:rsidR="002E0F7F" w:rsidRPr="005B06AD" w:rsidRDefault="0079706B">
            <w:pPr>
              <w:pStyle w:val="TableParagraph"/>
              <w:spacing w:before="76"/>
            </w:pPr>
            <w:r w:rsidRPr="005B06AD">
              <w:rPr>
                <w:w w:val="95"/>
              </w:rPr>
              <w:t>3.31</w:t>
            </w:r>
          </w:p>
        </w:tc>
        <w:tc>
          <w:tcPr>
            <w:tcW w:w="980" w:type="dxa"/>
          </w:tcPr>
          <w:p w14:paraId="63C2D4F2" w14:textId="77777777" w:rsidR="002E0F7F" w:rsidRPr="005B06AD" w:rsidRDefault="0079706B">
            <w:pPr>
              <w:pStyle w:val="TableParagraph"/>
              <w:spacing w:before="76"/>
            </w:pPr>
            <w:r w:rsidRPr="005B06AD">
              <w:rPr>
                <w:w w:val="99"/>
              </w:rPr>
              <w:t>1</w:t>
            </w:r>
          </w:p>
        </w:tc>
        <w:tc>
          <w:tcPr>
            <w:tcW w:w="1701" w:type="dxa"/>
            <w:tcBorders>
              <w:right w:val="single" w:sz="4" w:space="0" w:color="000000"/>
            </w:tcBorders>
          </w:tcPr>
          <w:p w14:paraId="447031F0" w14:textId="77777777" w:rsidR="002E0F7F" w:rsidRPr="005B06AD" w:rsidRDefault="0079706B">
            <w:pPr>
              <w:pStyle w:val="TableParagraph"/>
              <w:spacing w:before="76"/>
              <w:ind w:right="67"/>
            </w:pPr>
            <w:r w:rsidRPr="005B06AD">
              <w:rPr>
                <w:w w:val="95"/>
              </w:rPr>
              <w:t>40</w:t>
            </w:r>
          </w:p>
        </w:tc>
      </w:tr>
      <w:tr w:rsidR="005B06AD" w:rsidRPr="005B06AD" w14:paraId="1E8DD285" w14:textId="77777777" w:rsidTr="00DB1E83">
        <w:trPr>
          <w:trHeight w:val="462"/>
        </w:trPr>
        <w:tc>
          <w:tcPr>
            <w:tcW w:w="5138" w:type="dxa"/>
            <w:tcBorders>
              <w:left w:val="single" w:sz="4" w:space="0" w:color="000000"/>
            </w:tcBorders>
          </w:tcPr>
          <w:p w14:paraId="5A32E2CA" w14:textId="6EF5A75B" w:rsidR="002E0F7F" w:rsidRPr="005B06AD" w:rsidRDefault="0079706B" w:rsidP="0028443C">
            <w:pPr>
              <w:pStyle w:val="TableParagraph"/>
              <w:spacing w:before="76"/>
              <w:ind w:left="79" w:right="0"/>
              <w:jc w:val="left"/>
              <w:rPr>
                <w:lang w:val="it-IT"/>
              </w:rPr>
            </w:pPr>
            <w:r w:rsidRPr="005B06AD">
              <w:rPr>
                <w:lang w:val="it-IT"/>
              </w:rPr>
              <w:t>Solar</w:t>
            </w:r>
            <w:r w:rsidR="0028443C" w:rsidRPr="005B06AD">
              <w:rPr>
                <w:lang w:val="it-IT"/>
              </w:rPr>
              <w:t>e</w:t>
            </w:r>
            <w:r w:rsidRPr="005B06AD">
              <w:rPr>
                <w:lang w:val="it-IT"/>
              </w:rPr>
              <w:t>/</w:t>
            </w:r>
            <w:r w:rsidR="0028443C" w:rsidRPr="005B06AD">
              <w:rPr>
                <w:lang w:val="it-IT"/>
              </w:rPr>
              <w:t xml:space="preserve">eolico </w:t>
            </w:r>
            <w:r w:rsidRPr="005B06AD">
              <w:rPr>
                <w:lang w:val="it-IT"/>
              </w:rPr>
              <w:t>(</w:t>
            </w:r>
            <w:r w:rsidR="00917C9D" w:rsidRPr="005B06AD">
              <w:rPr>
                <w:lang w:val="it-IT"/>
              </w:rPr>
              <w:t xml:space="preserve">miliardi di tonnellate </w:t>
            </w:r>
            <w:r w:rsidR="0028443C" w:rsidRPr="005B06AD">
              <w:rPr>
                <w:lang w:val="it-IT"/>
              </w:rPr>
              <w:t>di petrolio equivalente</w:t>
            </w:r>
            <w:r w:rsidRPr="005B06AD">
              <w:rPr>
                <w:lang w:val="it-IT"/>
              </w:rPr>
              <w:t>/</w:t>
            </w:r>
            <w:r w:rsidR="0028443C" w:rsidRPr="005B06AD">
              <w:rPr>
                <w:lang w:val="it-IT"/>
              </w:rPr>
              <w:t>anno</w:t>
            </w:r>
            <w:r w:rsidRPr="005B06AD">
              <w:rPr>
                <w:lang w:val="it-IT"/>
              </w:rPr>
              <w:t>)</w:t>
            </w:r>
          </w:p>
        </w:tc>
        <w:tc>
          <w:tcPr>
            <w:tcW w:w="692" w:type="dxa"/>
          </w:tcPr>
          <w:p w14:paraId="6D33582A" w14:textId="77777777" w:rsidR="002E0F7F" w:rsidRPr="005B06AD" w:rsidRDefault="0079706B">
            <w:pPr>
              <w:pStyle w:val="TableParagraph"/>
              <w:spacing w:before="76"/>
            </w:pPr>
            <w:r w:rsidRPr="005B06AD">
              <w:rPr>
                <w:w w:val="95"/>
              </w:rPr>
              <w:t>2018</w:t>
            </w:r>
          </w:p>
        </w:tc>
        <w:tc>
          <w:tcPr>
            <w:tcW w:w="738" w:type="dxa"/>
          </w:tcPr>
          <w:p w14:paraId="65CA3BF7" w14:textId="77777777" w:rsidR="002E0F7F" w:rsidRPr="005B06AD" w:rsidRDefault="0079706B">
            <w:pPr>
              <w:pStyle w:val="TableParagraph"/>
              <w:spacing w:before="76"/>
            </w:pPr>
            <w:r w:rsidRPr="005B06AD">
              <w:rPr>
                <w:w w:val="95"/>
              </w:rPr>
              <w:t>0.42</w:t>
            </w:r>
          </w:p>
        </w:tc>
        <w:tc>
          <w:tcPr>
            <w:tcW w:w="980" w:type="dxa"/>
          </w:tcPr>
          <w:p w14:paraId="1A6B648D" w14:textId="77777777" w:rsidR="002E0F7F" w:rsidRPr="005B06AD" w:rsidRDefault="0079706B">
            <w:pPr>
              <w:pStyle w:val="TableParagraph"/>
              <w:spacing w:before="76"/>
            </w:pPr>
            <w:r w:rsidRPr="005B06AD">
              <w:rPr>
                <w:w w:val="99"/>
              </w:rPr>
              <w:t>1</w:t>
            </w:r>
          </w:p>
        </w:tc>
        <w:tc>
          <w:tcPr>
            <w:tcW w:w="1701" w:type="dxa"/>
            <w:tcBorders>
              <w:right w:val="single" w:sz="4" w:space="0" w:color="000000"/>
            </w:tcBorders>
          </w:tcPr>
          <w:p w14:paraId="24FD2554" w14:textId="77777777" w:rsidR="002E0F7F" w:rsidRPr="005B06AD" w:rsidRDefault="0079706B">
            <w:pPr>
              <w:pStyle w:val="TableParagraph"/>
              <w:spacing w:before="76"/>
              <w:ind w:right="67"/>
            </w:pPr>
            <w:r w:rsidRPr="005B06AD">
              <w:rPr>
                <w:w w:val="95"/>
              </w:rPr>
              <w:t>40</w:t>
            </w:r>
          </w:p>
        </w:tc>
      </w:tr>
      <w:tr w:rsidR="005B06AD" w:rsidRPr="005B06AD" w14:paraId="55025B8C" w14:textId="77777777" w:rsidTr="00DB1E83">
        <w:trPr>
          <w:trHeight w:val="462"/>
        </w:trPr>
        <w:tc>
          <w:tcPr>
            <w:tcW w:w="5138" w:type="dxa"/>
            <w:tcBorders>
              <w:left w:val="single" w:sz="4" w:space="0" w:color="000000"/>
            </w:tcBorders>
          </w:tcPr>
          <w:p w14:paraId="41D20B56" w14:textId="6122347C" w:rsidR="002E0F7F" w:rsidRPr="005B06AD" w:rsidRDefault="003C5DF7" w:rsidP="003C5DF7">
            <w:pPr>
              <w:pStyle w:val="TableParagraph"/>
              <w:spacing w:before="76"/>
              <w:ind w:left="79" w:right="0"/>
              <w:jc w:val="left"/>
              <w:rPr>
                <w:lang w:val="it-IT"/>
              </w:rPr>
            </w:pPr>
            <w:r w:rsidRPr="005B06AD">
              <w:rPr>
                <w:lang w:val="it-IT"/>
              </w:rPr>
              <w:t>Tra</w:t>
            </w:r>
            <w:r w:rsidR="0079706B" w:rsidRPr="005B06AD">
              <w:rPr>
                <w:lang w:val="it-IT"/>
              </w:rPr>
              <w:t>sport</w:t>
            </w:r>
            <w:r w:rsidRPr="005B06AD">
              <w:rPr>
                <w:lang w:val="it-IT"/>
              </w:rPr>
              <w:t>o aereo</w:t>
            </w:r>
            <w:r w:rsidR="0079706B" w:rsidRPr="005B06AD">
              <w:rPr>
                <w:lang w:val="it-IT"/>
              </w:rPr>
              <w:t xml:space="preserve"> (</w:t>
            </w:r>
            <w:r w:rsidRPr="005B06AD">
              <w:rPr>
                <w:lang w:val="it-IT"/>
              </w:rPr>
              <w:t xml:space="preserve">miliardi di </w:t>
            </w:r>
            <w:r w:rsidR="0079706B" w:rsidRPr="005B06AD">
              <w:rPr>
                <w:lang w:val="it-IT"/>
              </w:rPr>
              <w:t>passe</w:t>
            </w:r>
            <w:r w:rsidRPr="005B06AD">
              <w:rPr>
                <w:lang w:val="it-IT"/>
              </w:rPr>
              <w:t>g</w:t>
            </w:r>
            <w:r w:rsidR="0079706B" w:rsidRPr="005B06AD">
              <w:rPr>
                <w:lang w:val="it-IT"/>
              </w:rPr>
              <w:t>ger</w:t>
            </w:r>
            <w:r w:rsidRPr="005B06AD">
              <w:rPr>
                <w:lang w:val="it-IT"/>
              </w:rPr>
              <w:t xml:space="preserve">i </w:t>
            </w:r>
            <w:r w:rsidR="0079706B" w:rsidRPr="005B06AD">
              <w:rPr>
                <w:lang w:val="it-IT"/>
              </w:rPr>
              <w:t>/</w:t>
            </w:r>
            <w:r w:rsidR="0028443C" w:rsidRPr="005B06AD">
              <w:rPr>
                <w:lang w:val="it-IT"/>
              </w:rPr>
              <w:t>anno</w:t>
            </w:r>
            <w:r w:rsidR="0079706B" w:rsidRPr="005B06AD">
              <w:rPr>
                <w:lang w:val="it-IT"/>
              </w:rPr>
              <w:t>)</w:t>
            </w:r>
          </w:p>
        </w:tc>
        <w:tc>
          <w:tcPr>
            <w:tcW w:w="692" w:type="dxa"/>
          </w:tcPr>
          <w:p w14:paraId="3209C5F9" w14:textId="77777777" w:rsidR="002E0F7F" w:rsidRPr="005B06AD" w:rsidRDefault="0079706B">
            <w:pPr>
              <w:pStyle w:val="TableParagraph"/>
              <w:spacing w:before="76"/>
            </w:pPr>
            <w:r w:rsidRPr="005B06AD">
              <w:rPr>
                <w:w w:val="95"/>
              </w:rPr>
              <w:t>2017</w:t>
            </w:r>
          </w:p>
        </w:tc>
        <w:tc>
          <w:tcPr>
            <w:tcW w:w="738" w:type="dxa"/>
          </w:tcPr>
          <w:p w14:paraId="3BFCB23B" w14:textId="77777777" w:rsidR="002E0F7F" w:rsidRPr="005B06AD" w:rsidRDefault="0079706B">
            <w:pPr>
              <w:pStyle w:val="TableParagraph"/>
              <w:spacing w:before="76"/>
            </w:pPr>
            <w:r w:rsidRPr="005B06AD">
              <w:rPr>
                <w:w w:val="95"/>
              </w:rPr>
              <w:t>3.98</w:t>
            </w:r>
          </w:p>
        </w:tc>
        <w:tc>
          <w:tcPr>
            <w:tcW w:w="980" w:type="dxa"/>
          </w:tcPr>
          <w:p w14:paraId="684E53ED" w14:textId="77777777" w:rsidR="002E0F7F" w:rsidRPr="005B06AD" w:rsidRDefault="0079706B">
            <w:pPr>
              <w:pStyle w:val="TableParagraph"/>
              <w:spacing w:before="76"/>
            </w:pPr>
            <w:r w:rsidRPr="005B06AD">
              <w:rPr>
                <w:w w:val="99"/>
              </w:rPr>
              <w:t>1</w:t>
            </w:r>
          </w:p>
        </w:tc>
        <w:tc>
          <w:tcPr>
            <w:tcW w:w="1701" w:type="dxa"/>
            <w:tcBorders>
              <w:right w:val="single" w:sz="4" w:space="0" w:color="000000"/>
            </w:tcBorders>
          </w:tcPr>
          <w:p w14:paraId="1FF6AAC7" w14:textId="77777777" w:rsidR="002E0F7F" w:rsidRPr="005B06AD" w:rsidRDefault="0079706B">
            <w:pPr>
              <w:pStyle w:val="TableParagraph"/>
              <w:spacing w:before="76"/>
              <w:ind w:right="67"/>
            </w:pPr>
            <w:r w:rsidRPr="005B06AD">
              <w:rPr>
                <w:w w:val="95"/>
              </w:rPr>
              <w:t>39</w:t>
            </w:r>
          </w:p>
        </w:tc>
      </w:tr>
      <w:tr w:rsidR="005B06AD" w:rsidRPr="005B06AD" w14:paraId="061B4344" w14:textId="77777777" w:rsidTr="00DB1E83">
        <w:trPr>
          <w:trHeight w:val="462"/>
        </w:trPr>
        <w:tc>
          <w:tcPr>
            <w:tcW w:w="5138" w:type="dxa"/>
            <w:tcBorders>
              <w:left w:val="single" w:sz="4" w:space="0" w:color="000000"/>
            </w:tcBorders>
          </w:tcPr>
          <w:p w14:paraId="567F0018" w14:textId="017C1B5E" w:rsidR="002E0F7F" w:rsidRPr="005B06AD" w:rsidRDefault="00B35D05" w:rsidP="00B35D05">
            <w:pPr>
              <w:pStyle w:val="TableParagraph"/>
              <w:spacing w:before="76"/>
              <w:ind w:left="79" w:right="0"/>
              <w:jc w:val="left"/>
              <w:rPr>
                <w:lang w:val="it-IT"/>
              </w:rPr>
            </w:pPr>
            <w:r w:rsidRPr="005B06AD">
              <w:rPr>
                <w:lang w:val="it-IT"/>
              </w:rPr>
              <w:t>Attività t</w:t>
            </w:r>
            <w:r w:rsidR="0079706B" w:rsidRPr="005B06AD">
              <w:rPr>
                <w:lang w:val="it-IT"/>
              </w:rPr>
              <w:t>otal</w:t>
            </w:r>
            <w:r w:rsidRPr="005B06AD">
              <w:rPr>
                <w:lang w:val="it-IT"/>
              </w:rPr>
              <w:t>i cedute</w:t>
            </w:r>
            <w:r w:rsidR="0079706B" w:rsidRPr="005B06AD">
              <w:rPr>
                <w:lang w:val="it-IT"/>
              </w:rPr>
              <w:t xml:space="preserve"> </w:t>
            </w:r>
            <w:r w:rsidRPr="005B06AD">
              <w:rPr>
                <w:lang w:val="it-IT"/>
              </w:rPr>
              <w:t>(</w:t>
            </w:r>
            <w:r w:rsidR="00917C9D" w:rsidRPr="005B06AD">
              <w:rPr>
                <w:lang w:val="it-IT"/>
              </w:rPr>
              <w:t>migliaia di miliardi di dollari USA</w:t>
            </w:r>
            <w:r w:rsidR="0079706B" w:rsidRPr="005B06AD">
              <w:rPr>
                <w:lang w:val="it-IT"/>
              </w:rPr>
              <w:t>)</w:t>
            </w:r>
          </w:p>
        </w:tc>
        <w:tc>
          <w:tcPr>
            <w:tcW w:w="692" w:type="dxa"/>
          </w:tcPr>
          <w:p w14:paraId="61338AAF" w14:textId="77777777" w:rsidR="002E0F7F" w:rsidRPr="005B06AD" w:rsidRDefault="0079706B">
            <w:pPr>
              <w:pStyle w:val="TableParagraph"/>
              <w:spacing w:before="76"/>
            </w:pPr>
            <w:r w:rsidRPr="005B06AD">
              <w:rPr>
                <w:w w:val="95"/>
              </w:rPr>
              <w:t>2018</w:t>
            </w:r>
          </w:p>
        </w:tc>
        <w:tc>
          <w:tcPr>
            <w:tcW w:w="738" w:type="dxa"/>
          </w:tcPr>
          <w:p w14:paraId="115C3FFB" w14:textId="77777777" w:rsidR="002E0F7F" w:rsidRPr="005B06AD" w:rsidRDefault="0079706B">
            <w:pPr>
              <w:pStyle w:val="TableParagraph"/>
              <w:spacing w:before="76"/>
            </w:pPr>
            <w:r w:rsidRPr="005B06AD">
              <w:rPr>
                <w:w w:val="95"/>
              </w:rPr>
              <w:t>6.17</w:t>
            </w:r>
          </w:p>
        </w:tc>
        <w:tc>
          <w:tcPr>
            <w:tcW w:w="980" w:type="dxa"/>
          </w:tcPr>
          <w:p w14:paraId="1B0F42F3" w14:textId="77777777" w:rsidR="002E0F7F" w:rsidRPr="005B06AD" w:rsidRDefault="0079706B">
            <w:pPr>
              <w:pStyle w:val="TableParagraph"/>
              <w:spacing w:before="76"/>
            </w:pPr>
            <w:r w:rsidRPr="005B06AD">
              <w:rPr>
                <w:w w:val="99"/>
              </w:rPr>
              <w:t>1</w:t>
            </w:r>
          </w:p>
        </w:tc>
        <w:tc>
          <w:tcPr>
            <w:tcW w:w="1701" w:type="dxa"/>
            <w:tcBorders>
              <w:right w:val="single" w:sz="4" w:space="0" w:color="000000"/>
            </w:tcBorders>
          </w:tcPr>
          <w:p w14:paraId="338811AF" w14:textId="77777777" w:rsidR="002E0F7F" w:rsidRPr="005B06AD" w:rsidRDefault="0079706B">
            <w:pPr>
              <w:pStyle w:val="TableParagraph"/>
              <w:spacing w:before="76"/>
              <w:ind w:right="67"/>
            </w:pPr>
            <w:r w:rsidRPr="005B06AD">
              <w:rPr>
                <w:w w:val="99"/>
              </w:rPr>
              <w:t>6</w:t>
            </w:r>
          </w:p>
        </w:tc>
      </w:tr>
      <w:tr w:rsidR="005B06AD" w:rsidRPr="005B06AD" w14:paraId="1CF8F878" w14:textId="77777777" w:rsidTr="00DB1E83">
        <w:trPr>
          <w:trHeight w:val="467"/>
        </w:trPr>
        <w:tc>
          <w:tcPr>
            <w:tcW w:w="5138" w:type="dxa"/>
            <w:tcBorders>
              <w:left w:val="single" w:sz="4" w:space="0" w:color="000000"/>
            </w:tcBorders>
          </w:tcPr>
          <w:p w14:paraId="5EF02F44" w14:textId="7CD95B63" w:rsidR="002E0F7F" w:rsidRPr="005B06AD" w:rsidRDefault="00B35D05" w:rsidP="00B35D05">
            <w:pPr>
              <w:pStyle w:val="TableParagraph"/>
              <w:spacing w:before="76"/>
              <w:ind w:left="79" w:right="0"/>
              <w:jc w:val="left"/>
              <w:rPr>
                <w:lang w:val="it-IT"/>
              </w:rPr>
            </w:pPr>
            <w:r w:rsidRPr="005B06AD">
              <w:rPr>
                <w:lang w:val="it-IT"/>
              </w:rPr>
              <w:t>Emission</w:t>
            </w:r>
            <w:r w:rsidR="00917C9D" w:rsidRPr="005B06AD">
              <w:rPr>
                <w:lang w:val="it-IT"/>
              </w:rPr>
              <w:t>i</w:t>
            </w:r>
            <w:r w:rsidRPr="005B06AD">
              <w:rPr>
                <w:lang w:val="it-IT"/>
              </w:rPr>
              <w:t xml:space="preserve"> di </w:t>
            </w:r>
            <w:r w:rsidR="0079706B" w:rsidRPr="005B06AD">
              <w:rPr>
                <w:lang w:val="it-IT"/>
              </w:rPr>
              <w:t>CO</w:t>
            </w:r>
            <w:r w:rsidR="0079706B" w:rsidRPr="005B06AD">
              <w:rPr>
                <w:vertAlign w:val="subscript"/>
                <w:lang w:val="it-IT"/>
              </w:rPr>
              <w:t>2</w:t>
            </w:r>
            <w:r w:rsidR="0079706B" w:rsidRPr="005B06AD">
              <w:rPr>
                <w:lang w:val="it-IT"/>
              </w:rPr>
              <w:t xml:space="preserve"> (</w:t>
            </w:r>
            <w:r w:rsidR="00917C9D" w:rsidRPr="005B06AD">
              <w:rPr>
                <w:lang w:val="it-IT"/>
              </w:rPr>
              <w:t xml:space="preserve">miliardi di tonnellate </w:t>
            </w:r>
            <w:r w:rsidRPr="005B06AD">
              <w:rPr>
                <w:lang w:val="it-IT"/>
              </w:rPr>
              <w:t xml:space="preserve">di </w:t>
            </w:r>
            <w:r w:rsidR="0079706B" w:rsidRPr="005B06AD">
              <w:rPr>
                <w:lang w:val="it-IT"/>
              </w:rPr>
              <w:t>CO</w:t>
            </w:r>
            <w:r w:rsidR="0079706B" w:rsidRPr="005B06AD">
              <w:rPr>
                <w:vertAlign w:val="subscript"/>
                <w:lang w:val="it-IT"/>
              </w:rPr>
              <w:t>2</w:t>
            </w:r>
            <w:r w:rsidR="0079706B" w:rsidRPr="005B06AD">
              <w:rPr>
                <w:lang w:val="it-IT"/>
              </w:rPr>
              <w:t xml:space="preserve"> equivalent</w:t>
            </w:r>
            <w:r w:rsidRPr="005B06AD">
              <w:rPr>
                <w:lang w:val="it-IT"/>
              </w:rPr>
              <w:t>e</w:t>
            </w:r>
            <w:r w:rsidR="0079706B" w:rsidRPr="005B06AD">
              <w:rPr>
                <w:lang w:val="it-IT"/>
              </w:rPr>
              <w:t>/</w:t>
            </w:r>
            <w:r w:rsidR="0028443C" w:rsidRPr="005B06AD">
              <w:rPr>
                <w:lang w:val="it-IT"/>
              </w:rPr>
              <w:t>anno</w:t>
            </w:r>
            <w:r w:rsidR="0079706B" w:rsidRPr="005B06AD">
              <w:rPr>
                <w:lang w:val="it-IT"/>
              </w:rPr>
              <w:t>)</w:t>
            </w:r>
          </w:p>
        </w:tc>
        <w:tc>
          <w:tcPr>
            <w:tcW w:w="692" w:type="dxa"/>
          </w:tcPr>
          <w:p w14:paraId="3F5219F2" w14:textId="77777777" w:rsidR="002E0F7F" w:rsidRPr="005B06AD" w:rsidRDefault="0079706B">
            <w:pPr>
              <w:pStyle w:val="TableParagraph"/>
              <w:spacing w:before="76"/>
            </w:pPr>
            <w:r w:rsidRPr="005B06AD">
              <w:rPr>
                <w:w w:val="95"/>
              </w:rPr>
              <w:t>2018</w:t>
            </w:r>
          </w:p>
        </w:tc>
        <w:tc>
          <w:tcPr>
            <w:tcW w:w="738" w:type="dxa"/>
          </w:tcPr>
          <w:p w14:paraId="4BBA3560" w14:textId="77777777" w:rsidR="002E0F7F" w:rsidRPr="005B06AD" w:rsidRDefault="0079706B">
            <w:pPr>
              <w:pStyle w:val="TableParagraph"/>
              <w:spacing w:before="76"/>
            </w:pPr>
            <w:r w:rsidRPr="005B06AD">
              <w:rPr>
                <w:w w:val="95"/>
              </w:rPr>
              <w:t>33.9</w:t>
            </w:r>
          </w:p>
        </w:tc>
        <w:tc>
          <w:tcPr>
            <w:tcW w:w="980" w:type="dxa"/>
          </w:tcPr>
          <w:p w14:paraId="419E8342" w14:textId="77777777" w:rsidR="002E0F7F" w:rsidRPr="005B06AD" w:rsidRDefault="0079706B">
            <w:pPr>
              <w:pStyle w:val="TableParagraph"/>
              <w:spacing w:before="76"/>
            </w:pPr>
            <w:r w:rsidRPr="005B06AD">
              <w:rPr>
                <w:w w:val="99"/>
              </w:rPr>
              <w:t>1</w:t>
            </w:r>
          </w:p>
        </w:tc>
        <w:tc>
          <w:tcPr>
            <w:tcW w:w="1701" w:type="dxa"/>
            <w:tcBorders>
              <w:right w:val="single" w:sz="4" w:space="0" w:color="000000"/>
            </w:tcBorders>
          </w:tcPr>
          <w:p w14:paraId="791E5D94" w14:textId="77777777" w:rsidR="002E0F7F" w:rsidRPr="005B06AD" w:rsidRDefault="0079706B">
            <w:pPr>
              <w:pStyle w:val="TableParagraph"/>
              <w:spacing w:before="76"/>
              <w:ind w:right="67"/>
            </w:pPr>
            <w:r w:rsidRPr="005B06AD">
              <w:rPr>
                <w:w w:val="95"/>
              </w:rPr>
              <w:t>40</w:t>
            </w:r>
          </w:p>
        </w:tc>
      </w:tr>
      <w:tr w:rsidR="005B06AD" w:rsidRPr="005B06AD" w14:paraId="1DA9EC76" w14:textId="77777777" w:rsidTr="00DB1E83">
        <w:trPr>
          <w:trHeight w:val="462"/>
        </w:trPr>
        <w:tc>
          <w:tcPr>
            <w:tcW w:w="5138" w:type="dxa"/>
            <w:tcBorders>
              <w:left w:val="single" w:sz="4" w:space="0" w:color="000000"/>
            </w:tcBorders>
          </w:tcPr>
          <w:p w14:paraId="1660D742" w14:textId="3993DC1A" w:rsidR="002E0F7F" w:rsidRPr="005B06AD" w:rsidRDefault="00B35D05" w:rsidP="00B35D05">
            <w:pPr>
              <w:pStyle w:val="TableParagraph"/>
              <w:spacing w:before="71"/>
              <w:ind w:left="79" w:right="0"/>
              <w:jc w:val="left"/>
              <w:rPr>
                <w:lang w:val="it-IT"/>
              </w:rPr>
            </w:pPr>
            <w:r w:rsidRPr="005B06AD">
              <w:rPr>
                <w:lang w:val="it-IT"/>
              </w:rPr>
              <w:t>Emission</w:t>
            </w:r>
            <w:r w:rsidR="00917C9D" w:rsidRPr="005B06AD">
              <w:rPr>
                <w:lang w:val="it-IT"/>
              </w:rPr>
              <w:t>i</w:t>
            </w:r>
            <w:r w:rsidRPr="005B06AD">
              <w:rPr>
                <w:lang w:val="it-IT"/>
              </w:rPr>
              <w:t xml:space="preserve"> di </w:t>
            </w:r>
            <w:r w:rsidR="0079706B" w:rsidRPr="005B06AD">
              <w:rPr>
                <w:lang w:val="it-IT"/>
              </w:rPr>
              <w:t>CO</w:t>
            </w:r>
            <w:r w:rsidR="0079706B" w:rsidRPr="005B06AD">
              <w:rPr>
                <w:vertAlign w:val="subscript"/>
                <w:lang w:val="it-IT"/>
              </w:rPr>
              <w:t>2</w:t>
            </w:r>
            <w:r w:rsidR="0079706B" w:rsidRPr="005B06AD">
              <w:rPr>
                <w:lang w:val="it-IT"/>
              </w:rPr>
              <w:t xml:space="preserve"> </w:t>
            </w:r>
            <w:r w:rsidRPr="005B06AD">
              <w:rPr>
                <w:lang w:val="it-IT"/>
              </w:rPr>
              <w:t>pro-capite</w:t>
            </w:r>
            <w:r w:rsidR="0079706B" w:rsidRPr="005B06AD">
              <w:rPr>
                <w:lang w:val="it-IT"/>
              </w:rPr>
              <w:t xml:space="preserve"> (tonne</w:t>
            </w:r>
            <w:r w:rsidRPr="005B06AD">
              <w:rPr>
                <w:lang w:val="it-IT"/>
              </w:rPr>
              <w:t>llate di</w:t>
            </w:r>
            <w:r w:rsidR="0079706B" w:rsidRPr="005B06AD">
              <w:rPr>
                <w:lang w:val="it-IT"/>
              </w:rPr>
              <w:t xml:space="preserve"> CO</w:t>
            </w:r>
            <w:r w:rsidR="0079706B" w:rsidRPr="005B06AD">
              <w:rPr>
                <w:vertAlign w:val="subscript"/>
                <w:lang w:val="it-IT"/>
              </w:rPr>
              <w:t>2</w:t>
            </w:r>
            <w:r w:rsidR="0079706B" w:rsidRPr="005B06AD">
              <w:rPr>
                <w:lang w:val="it-IT"/>
              </w:rPr>
              <w:t xml:space="preserve"> equivalent</w:t>
            </w:r>
            <w:r w:rsidRPr="005B06AD">
              <w:rPr>
                <w:lang w:val="it-IT"/>
              </w:rPr>
              <w:t>e</w:t>
            </w:r>
            <w:r w:rsidR="0079706B" w:rsidRPr="005B06AD">
              <w:rPr>
                <w:lang w:val="it-IT"/>
              </w:rPr>
              <w:t>/</w:t>
            </w:r>
            <w:r w:rsidR="0028443C" w:rsidRPr="005B06AD">
              <w:rPr>
                <w:lang w:val="it-IT"/>
              </w:rPr>
              <w:t>anno</w:t>
            </w:r>
            <w:r w:rsidR="0079706B" w:rsidRPr="005B06AD">
              <w:rPr>
                <w:lang w:val="it-IT"/>
              </w:rPr>
              <w:t>)</w:t>
            </w:r>
          </w:p>
        </w:tc>
        <w:tc>
          <w:tcPr>
            <w:tcW w:w="692" w:type="dxa"/>
          </w:tcPr>
          <w:p w14:paraId="1C2EB347" w14:textId="77777777" w:rsidR="002E0F7F" w:rsidRPr="005B06AD" w:rsidRDefault="0079706B">
            <w:pPr>
              <w:pStyle w:val="TableParagraph"/>
              <w:spacing w:before="71"/>
            </w:pPr>
            <w:r w:rsidRPr="005B06AD">
              <w:rPr>
                <w:w w:val="95"/>
              </w:rPr>
              <w:t>2018</w:t>
            </w:r>
          </w:p>
        </w:tc>
        <w:tc>
          <w:tcPr>
            <w:tcW w:w="738" w:type="dxa"/>
          </w:tcPr>
          <w:p w14:paraId="46A07C64" w14:textId="77777777" w:rsidR="002E0F7F" w:rsidRPr="005B06AD" w:rsidRDefault="0079706B">
            <w:pPr>
              <w:pStyle w:val="TableParagraph"/>
              <w:spacing w:before="71"/>
            </w:pPr>
            <w:r w:rsidRPr="005B06AD">
              <w:rPr>
                <w:w w:val="95"/>
              </w:rPr>
              <w:t>4.44</w:t>
            </w:r>
          </w:p>
        </w:tc>
        <w:tc>
          <w:tcPr>
            <w:tcW w:w="980" w:type="dxa"/>
          </w:tcPr>
          <w:p w14:paraId="15D0DAC1" w14:textId="77777777" w:rsidR="002E0F7F" w:rsidRPr="005B06AD" w:rsidRDefault="0079706B">
            <w:pPr>
              <w:pStyle w:val="TableParagraph"/>
              <w:spacing w:before="71"/>
            </w:pPr>
            <w:r w:rsidRPr="005B06AD">
              <w:rPr>
                <w:w w:val="99"/>
              </w:rPr>
              <w:t>9</w:t>
            </w:r>
          </w:p>
        </w:tc>
        <w:tc>
          <w:tcPr>
            <w:tcW w:w="1701" w:type="dxa"/>
            <w:tcBorders>
              <w:right w:val="single" w:sz="4" w:space="0" w:color="000000"/>
            </w:tcBorders>
          </w:tcPr>
          <w:p w14:paraId="0864CA1A" w14:textId="77777777" w:rsidR="002E0F7F" w:rsidRPr="005B06AD" w:rsidRDefault="0079706B">
            <w:pPr>
              <w:pStyle w:val="TableParagraph"/>
              <w:spacing w:before="71"/>
              <w:ind w:right="67"/>
            </w:pPr>
            <w:r w:rsidRPr="005B06AD">
              <w:rPr>
                <w:w w:val="95"/>
              </w:rPr>
              <w:t>40</w:t>
            </w:r>
          </w:p>
        </w:tc>
      </w:tr>
      <w:tr w:rsidR="005B06AD" w:rsidRPr="005B06AD" w14:paraId="4F436B7B" w14:textId="77777777" w:rsidTr="00DB1E83">
        <w:trPr>
          <w:trHeight w:val="456"/>
        </w:trPr>
        <w:tc>
          <w:tcPr>
            <w:tcW w:w="5138" w:type="dxa"/>
            <w:tcBorders>
              <w:left w:val="single" w:sz="4" w:space="0" w:color="000000"/>
            </w:tcBorders>
          </w:tcPr>
          <w:p w14:paraId="1AE13A5E" w14:textId="768E39FD" w:rsidR="002E0F7F" w:rsidRPr="005B06AD" w:rsidRDefault="00B35D05" w:rsidP="00B35D05">
            <w:pPr>
              <w:pStyle w:val="TableParagraph"/>
              <w:spacing w:before="71"/>
              <w:ind w:left="79" w:right="0"/>
              <w:jc w:val="left"/>
              <w:rPr>
                <w:lang w:val="it-IT"/>
              </w:rPr>
            </w:pPr>
            <w:r w:rsidRPr="005B06AD">
              <w:rPr>
                <w:lang w:val="it-IT"/>
              </w:rPr>
              <w:t>Emission</w:t>
            </w:r>
            <w:r w:rsidR="00917C9D" w:rsidRPr="005B06AD">
              <w:rPr>
                <w:lang w:val="it-IT"/>
              </w:rPr>
              <w:t>i</w:t>
            </w:r>
            <w:r w:rsidRPr="005B06AD">
              <w:rPr>
                <w:lang w:val="it-IT"/>
              </w:rPr>
              <w:t xml:space="preserve"> di </w:t>
            </w:r>
            <w:r w:rsidR="00917C9D" w:rsidRPr="005B06AD">
              <w:rPr>
                <w:lang w:val="it-IT"/>
              </w:rPr>
              <w:t>gas serra</w:t>
            </w:r>
            <w:r w:rsidR="0079706B" w:rsidRPr="005B06AD">
              <w:rPr>
                <w:lang w:val="it-IT"/>
              </w:rPr>
              <w:t xml:space="preserve"> </w:t>
            </w:r>
            <w:r w:rsidRPr="005B06AD">
              <w:rPr>
                <w:lang w:val="it-IT"/>
              </w:rPr>
              <w:t xml:space="preserve">coperte </w:t>
            </w:r>
            <w:r w:rsidR="00917C9D" w:rsidRPr="005B06AD">
              <w:rPr>
                <w:lang w:val="it-IT"/>
              </w:rPr>
              <w:t>da carbon pricing</w:t>
            </w:r>
            <w:r w:rsidRPr="005B06AD">
              <w:rPr>
                <w:lang w:val="it-IT"/>
              </w:rPr>
              <w:t xml:space="preserve"> </w:t>
            </w:r>
            <w:r w:rsidR="0079706B" w:rsidRPr="005B06AD">
              <w:rPr>
                <w:lang w:val="it-IT"/>
              </w:rPr>
              <w:t>(%)</w:t>
            </w:r>
          </w:p>
        </w:tc>
        <w:tc>
          <w:tcPr>
            <w:tcW w:w="692" w:type="dxa"/>
          </w:tcPr>
          <w:p w14:paraId="4D88F746" w14:textId="77777777" w:rsidR="002E0F7F" w:rsidRPr="005B06AD" w:rsidRDefault="0079706B">
            <w:pPr>
              <w:pStyle w:val="TableParagraph"/>
              <w:spacing w:before="71"/>
            </w:pPr>
            <w:r w:rsidRPr="005B06AD">
              <w:rPr>
                <w:w w:val="95"/>
              </w:rPr>
              <w:t>2018</w:t>
            </w:r>
          </w:p>
        </w:tc>
        <w:tc>
          <w:tcPr>
            <w:tcW w:w="738" w:type="dxa"/>
          </w:tcPr>
          <w:p w14:paraId="1A830B14" w14:textId="77777777" w:rsidR="002E0F7F" w:rsidRPr="005B06AD" w:rsidRDefault="0079706B">
            <w:pPr>
              <w:pStyle w:val="TableParagraph"/>
              <w:spacing w:before="71"/>
              <w:ind w:right="100"/>
            </w:pPr>
            <w:r w:rsidRPr="005B06AD">
              <w:rPr>
                <w:w w:val="95"/>
              </w:rPr>
              <w:t>14</w:t>
            </w:r>
          </w:p>
        </w:tc>
        <w:tc>
          <w:tcPr>
            <w:tcW w:w="980" w:type="dxa"/>
          </w:tcPr>
          <w:p w14:paraId="304CBF28" w14:textId="77777777" w:rsidR="002E0F7F" w:rsidRPr="005B06AD" w:rsidRDefault="0079706B">
            <w:pPr>
              <w:pStyle w:val="TableParagraph"/>
              <w:spacing w:before="71"/>
            </w:pPr>
            <w:r w:rsidRPr="005B06AD">
              <w:rPr>
                <w:w w:val="99"/>
              </w:rPr>
              <w:t>1</w:t>
            </w:r>
          </w:p>
        </w:tc>
        <w:tc>
          <w:tcPr>
            <w:tcW w:w="1701" w:type="dxa"/>
            <w:tcBorders>
              <w:right w:val="single" w:sz="4" w:space="0" w:color="000000"/>
            </w:tcBorders>
          </w:tcPr>
          <w:p w14:paraId="0B4E208D" w14:textId="77777777" w:rsidR="002E0F7F" w:rsidRPr="005B06AD" w:rsidRDefault="0079706B">
            <w:pPr>
              <w:pStyle w:val="TableParagraph"/>
              <w:spacing w:before="71"/>
              <w:ind w:right="67"/>
            </w:pPr>
            <w:r w:rsidRPr="005B06AD">
              <w:rPr>
                <w:w w:val="95"/>
              </w:rPr>
              <w:t>29</w:t>
            </w:r>
          </w:p>
        </w:tc>
      </w:tr>
      <w:tr w:rsidR="005B06AD" w:rsidRPr="005B06AD" w14:paraId="4887F49F" w14:textId="77777777" w:rsidTr="00DB1E83">
        <w:trPr>
          <w:trHeight w:val="467"/>
        </w:trPr>
        <w:tc>
          <w:tcPr>
            <w:tcW w:w="5138" w:type="dxa"/>
            <w:tcBorders>
              <w:left w:val="single" w:sz="4" w:space="0" w:color="000000"/>
            </w:tcBorders>
          </w:tcPr>
          <w:p w14:paraId="687F389B" w14:textId="771FC1FB" w:rsidR="002E0F7F" w:rsidRPr="005B06AD" w:rsidRDefault="00917C9D" w:rsidP="00B35D05">
            <w:pPr>
              <w:pStyle w:val="TableParagraph"/>
              <w:spacing w:before="76"/>
              <w:ind w:left="79" w:right="0"/>
              <w:jc w:val="left"/>
              <w:rPr>
                <w:lang w:val="it-IT"/>
              </w:rPr>
            </w:pPr>
            <w:r w:rsidRPr="005B06AD">
              <w:rPr>
                <w:lang w:val="it-IT"/>
              </w:rPr>
              <w:t>Costo del carbonio</w:t>
            </w:r>
            <w:r w:rsidR="00B35D05" w:rsidRPr="005B06AD">
              <w:rPr>
                <w:lang w:val="it-IT"/>
              </w:rPr>
              <w:t xml:space="preserve"> </w:t>
            </w:r>
            <w:r w:rsidR="0079706B" w:rsidRPr="005B06AD">
              <w:rPr>
                <w:lang w:val="it-IT"/>
              </w:rPr>
              <w:t>(</w:t>
            </w:r>
            <w:r w:rsidRPr="005B06AD">
              <w:rPr>
                <w:lang w:val="it-IT"/>
              </w:rPr>
              <w:t>dollari USA</w:t>
            </w:r>
            <w:r w:rsidR="0079706B" w:rsidRPr="005B06AD">
              <w:rPr>
                <w:lang w:val="it-IT"/>
              </w:rPr>
              <w:t xml:space="preserve"> per tonne</w:t>
            </w:r>
            <w:r w:rsidR="00B35D05" w:rsidRPr="005B06AD">
              <w:rPr>
                <w:lang w:val="it-IT"/>
              </w:rPr>
              <w:t>llata di</w:t>
            </w:r>
            <w:r w:rsidR="0079706B" w:rsidRPr="005B06AD">
              <w:rPr>
                <w:lang w:val="it-IT"/>
              </w:rPr>
              <w:t xml:space="preserve"> CO</w:t>
            </w:r>
            <w:r w:rsidR="0079706B" w:rsidRPr="005B06AD">
              <w:rPr>
                <w:vertAlign w:val="subscript"/>
                <w:lang w:val="it-IT"/>
              </w:rPr>
              <w:t>2</w:t>
            </w:r>
            <w:r w:rsidR="0079706B" w:rsidRPr="005B06AD">
              <w:rPr>
                <w:lang w:val="it-IT"/>
              </w:rPr>
              <w:t xml:space="preserve"> em</w:t>
            </w:r>
            <w:r w:rsidR="00B35D05" w:rsidRPr="005B06AD">
              <w:rPr>
                <w:lang w:val="it-IT"/>
              </w:rPr>
              <w:t>e</w:t>
            </w:r>
            <w:r w:rsidR="0079706B" w:rsidRPr="005B06AD">
              <w:rPr>
                <w:lang w:val="it-IT"/>
              </w:rPr>
              <w:t>ss</w:t>
            </w:r>
            <w:r w:rsidR="00B35D05" w:rsidRPr="005B06AD">
              <w:rPr>
                <w:lang w:val="it-IT"/>
              </w:rPr>
              <w:t>a</w:t>
            </w:r>
            <w:r w:rsidR="0079706B" w:rsidRPr="005B06AD">
              <w:rPr>
                <w:lang w:val="it-IT"/>
              </w:rPr>
              <w:t>)</w:t>
            </w:r>
          </w:p>
        </w:tc>
        <w:tc>
          <w:tcPr>
            <w:tcW w:w="692" w:type="dxa"/>
          </w:tcPr>
          <w:p w14:paraId="73AB73DD" w14:textId="77777777" w:rsidR="002E0F7F" w:rsidRPr="005B06AD" w:rsidRDefault="0079706B">
            <w:pPr>
              <w:pStyle w:val="TableParagraph"/>
              <w:spacing w:before="76"/>
            </w:pPr>
            <w:r w:rsidRPr="005B06AD">
              <w:rPr>
                <w:w w:val="95"/>
              </w:rPr>
              <w:t>2018</w:t>
            </w:r>
          </w:p>
        </w:tc>
        <w:tc>
          <w:tcPr>
            <w:tcW w:w="738" w:type="dxa"/>
          </w:tcPr>
          <w:p w14:paraId="1388D229" w14:textId="77777777" w:rsidR="002E0F7F" w:rsidRPr="005B06AD" w:rsidRDefault="0079706B">
            <w:pPr>
              <w:pStyle w:val="TableParagraph"/>
              <w:spacing w:before="76"/>
            </w:pPr>
            <w:r w:rsidRPr="005B06AD">
              <w:t>15.2</w:t>
            </w:r>
          </w:p>
        </w:tc>
        <w:tc>
          <w:tcPr>
            <w:tcW w:w="980" w:type="dxa"/>
          </w:tcPr>
          <w:p w14:paraId="02F31F87" w14:textId="77777777" w:rsidR="002E0F7F" w:rsidRPr="005B06AD" w:rsidRDefault="0079706B">
            <w:pPr>
              <w:pStyle w:val="TableParagraph"/>
              <w:spacing w:before="76"/>
              <w:ind w:right="100"/>
            </w:pPr>
            <w:r w:rsidRPr="005B06AD">
              <w:rPr>
                <w:w w:val="95"/>
              </w:rPr>
              <w:t>28</w:t>
            </w:r>
          </w:p>
        </w:tc>
        <w:tc>
          <w:tcPr>
            <w:tcW w:w="1701" w:type="dxa"/>
            <w:tcBorders>
              <w:right w:val="single" w:sz="4" w:space="0" w:color="000000"/>
            </w:tcBorders>
          </w:tcPr>
          <w:p w14:paraId="440D2D19" w14:textId="77777777" w:rsidR="002E0F7F" w:rsidRPr="005B06AD" w:rsidRDefault="0079706B">
            <w:pPr>
              <w:pStyle w:val="TableParagraph"/>
              <w:spacing w:before="76"/>
              <w:ind w:right="67"/>
            </w:pPr>
            <w:r w:rsidRPr="005B06AD">
              <w:rPr>
                <w:w w:val="95"/>
              </w:rPr>
              <w:t>29</w:t>
            </w:r>
          </w:p>
        </w:tc>
      </w:tr>
      <w:tr w:rsidR="005B06AD" w:rsidRPr="005B06AD" w14:paraId="16D2AA22" w14:textId="77777777" w:rsidTr="00DB1E83">
        <w:trPr>
          <w:trHeight w:val="420"/>
        </w:trPr>
        <w:tc>
          <w:tcPr>
            <w:tcW w:w="5138" w:type="dxa"/>
            <w:tcBorders>
              <w:left w:val="single" w:sz="4" w:space="0" w:color="000000"/>
              <w:bottom w:val="single" w:sz="4" w:space="0" w:color="000000"/>
            </w:tcBorders>
          </w:tcPr>
          <w:p w14:paraId="22C04EC1" w14:textId="2704AFBF" w:rsidR="002E0F7F" w:rsidRPr="005B06AD" w:rsidRDefault="00B35D05" w:rsidP="00B35D05">
            <w:pPr>
              <w:pStyle w:val="TableParagraph"/>
              <w:spacing w:before="71"/>
              <w:ind w:left="79" w:right="0"/>
              <w:jc w:val="left"/>
              <w:rPr>
                <w:lang w:val="it-IT"/>
              </w:rPr>
            </w:pPr>
            <w:r w:rsidRPr="005B06AD">
              <w:rPr>
                <w:lang w:val="it-IT"/>
              </w:rPr>
              <w:t>Sussidi ai combustibili f</w:t>
            </w:r>
            <w:r w:rsidR="0079706B" w:rsidRPr="005B06AD">
              <w:rPr>
                <w:lang w:val="it-IT"/>
              </w:rPr>
              <w:t>ossil</w:t>
            </w:r>
            <w:r w:rsidRPr="005B06AD">
              <w:rPr>
                <w:lang w:val="it-IT"/>
              </w:rPr>
              <w:t>i</w:t>
            </w:r>
            <w:r w:rsidR="0079706B" w:rsidRPr="005B06AD">
              <w:rPr>
                <w:lang w:val="it-IT"/>
              </w:rPr>
              <w:t xml:space="preserve"> (</w:t>
            </w:r>
            <w:r w:rsidRPr="005B06AD">
              <w:rPr>
                <w:lang w:val="it-IT"/>
              </w:rPr>
              <w:t>miliardi di</w:t>
            </w:r>
            <w:r w:rsidR="0079706B" w:rsidRPr="005B06AD">
              <w:rPr>
                <w:lang w:val="it-IT"/>
              </w:rPr>
              <w:t xml:space="preserve"> </w:t>
            </w:r>
            <w:r w:rsidR="00917C9D" w:rsidRPr="005B06AD">
              <w:rPr>
                <w:lang w:val="it-IT"/>
              </w:rPr>
              <w:t>dollari USA</w:t>
            </w:r>
            <w:r w:rsidR="0079706B" w:rsidRPr="005B06AD">
              <w:rPr>
                <w:lang w:val="it-IT"/>
              </w:rPr>
              <w:t>/</w:t>
            </w:r>
            <w:r w:rsidR="0028443C" w:rsidRPr="005B06AD">
              <w:rPr>
                <w:lang w:val="it-IT"/>
              </w:rPr>
              <w:t>anno</w:t>
            </w:r>
            <w:r w:rsidR="0079706B" w:rsidRPr="005B06AD">
              <w:rPr>
                <w:lang w:val="it-IT"/>
              </w:rPr>
              <w:t>)</w:t>
            </w:r>
          </w:p>
        </w:tc>
        <w:tc>
          <w:tcPr>
            <w:tcW w:w="692" w:type="dxa"/>
            <w:tcBorders>
              <w:bottom w:val="single" w:sz="4" w:space="0" w:color="000000"/>
            </w:tcBorders>
          </w:tcPr>
          <w:p w14:paraId="469A1788" w14:textId="77777777" w:rsidR="002E0F7F" w:rsidRPr="005B06AD" w:rsidRDefault="0079706B">
            <w:pPr>
              <w:pStyle w:val="TableParagraph"/>
              <w:spacing w:before="71"/>
            </w:pPr>
            <w:r w:rsidRPr="005B06AD">
              <w:rPr>
                <w:w w:val="95"/>
              </w:rPr>
              <w:t>2018</w:t>
            </w:r>
          </w:p>
        </w:tc>
        <w:tc>
          <w:tcPr>
            <w:tcW w:w="738" w:type="dxa"/>
            <w:tcBorders>
              <w:bottom w:val="single" w:sz="4" w:space="0" w:color="000000"/>
            </w:tcBorders>
          </w:tcPr>
          <w:p w14:paraId="208598F2" w14:textId="77777777" w:rsidR="002E0F7F" w:rsidRPr="005B06AD" w:rsidRDefault="0079706B">
            <w:pPr>
              <w:pStyle w:val="TableParagraph"/>
              <w:spacing w:before="71"/>
              <w:ind w:right="100"/>
            </w:pPr>
            <w:r w:rsidRPr="005B06AD">
              <w:rPr>
                <w:w w:val="95"/>
              </w:rPr>
              <w:t>427</w:t>
            </w:r>
          </w:p>
        </w:tc>
        <w:tc>
          <w:tcPr>
            <w:tcW w:w="980" w:type="dxa"/>
            <w:tcBorders>
              <w:bottom w:val="single" w:sz="4" w:space="0" w:color="000000"/>
            </w:tcBorders>
          </w:tcPr>
          <w:p w14:paraId="40493BE7" w14:textId="77777777" w:rsidR="002E0F7F" w:rsidRPr="005B06AD" w:rsidRDefault="0079706B">
            <w:pPr>
              <w:pStyle w:val="TableParagraph"/>
              <w:spacing w:before="71"/>
            </w:pPr>
            <w:r w:rsidRPr="005B06AD">
              <w:rPr>
                <w:w w:val="99"/>
              </w:rPr>
              <w:t>6</w:t>
            </w:r>
          </w:p>
        </w:tc>
        <w:tc>
          <w:tcPr>
            <w:tcW w:w="1701" w:type="dxa"/>
            <w:tcBorders>
              <w:bottom w:val="single" w:sz="4" w:space="0" w:color="000000"/>
              <w:right w:val="single" w:sz="4" w:space="0" w:color="000000"/>
            </w:tcBorders>
          </w:tcPr>
          <w:p w14:paraId="548BEB67" w14:textId="77777777" w:rsidR="002E0F7F" w:rsidRPr="005B06AD" w:rsidRDefault="0079706B">
            <w:pPr>
              <w:pStyle w:val="TableParagraph"/>
              <w:spacing w:before="71"/>
              <w:ind w:right="67"/>
            </w:pPr>
            <w:r w:rsidRPr="005B06AD">
              <w:rPr>
                <w:w w:val="99"/>
              </w:rPr>
              <w:t>9</w:t>
            </w:r>
          </w:p>
        </w:tc>
      </w:tr>
    </w:tbl>
    <w:p w14:paraId="2AD59A6B" w14:textId="77777777" w:rsidR="002E0F7F" w:rsidRPr="005B06AD" w:rsidRDefault="002E0F7F">
      <w:pPr>
        <w:sectPr w:rsidR="002E0F7F" w:rsidRPr="005B06AD">
          <w:pgSz w:w="12240" w:h="15840"/>
          <w:pgMar w:top="1080" w:right="1040" w:bottom="940" w:left="880" w:header="0" w:footer="744" w:gutter="0"/>
          <w:cols w:space="720"/>
        </w:sectPr>
      </w:pPr>
    </w:p>
    <w:p w14:paraId="5F91B9F6" w14:textId="6A5C05D5" w:rsidR="000C2444" w:rsidRPr="005B06AD" w:rsidRDefault="0079706B" w:rsidP="00F767EA">
      <w:pPr>
        <w:pStyle w:val="Corpotesto"/>
        <w:spacing w:before="70" w:line="259" w:lineRule="auto"/>
        <w:ind w:right="263"/>
        <w:jc w:val="both"/>
        <w:rPr>
          <w:lang w:val="it-IT"/>
        </w:rPr>
      </w:pPr>
      <w:r w:rsidRPr="005B06AD">
        <w:rPr>
          <w:b/>
          <w:lang w:val="it-IT"/>
        </w:rPr>
        <w:lastRenderedPageBreak/>
        <w:t>Tabella S3.</w:t>
      </w:r>
      <w:r w:rsidR="000C2444" w:rsidRPr="005B06AD">
        <w:rPr>
          <w:b/>
          <w:lang w:val="it-IT"/>
        </w:rPr>
        <w:t xml:space="preserve"> </w:t>
      </w:r>
      <w:r w:rsidR="000C2444" w:rsidRPr="005B06AD">
        <w:rPr>
          <w:lang w:val="it-IT"/>
        </w:rPr>
        <w:t xml:space="preserve">Riepilogo degli indicatori di risposta climatica. Le colonne in tabella mostrano il nome della variabile, </w:t>
      </w:r>
      <w:r w:rsidR="0070658A" w:rsidRPr="005B06AD">
        <w:rPr>
          <w:lang w:val="it-IT"/>
        </w:rPr>
        <w:t>l'anno di rilevazione più recente</w:t>
      </w:r>
      <w:r w:rsidR="000C2444" w:rsidRPr="005B06AD">
        <w:rPr>
          <w:lang w:val="it-IT"/>
        </w:rPr>
        <w:t xml:space="preserve">, il valore della variabile in quell'anno, la posizione in quell'anno (la prima posizione è il valore più alto possibile) e il numero totale di anni con dati (dal 1979). Ad esempio, la concentrazione atmosferica di </w:t>
      </w:r>
      <w:r w:rsidR="0070658A" w:rsidRPr="005B06AD">
        <w:rPr>
          <w:lang w:val="it-IT"/>
        </w:rPr>
        <w:t>CO</w:t>
      </w:r>
      <w:r w:rsidR="0070658A" w:rsidRPr="005B06AD">
        <w:rPr>
          <w:vertAlign w:val="subscript"/>
          <w:lang w:val="it-IT"/>
        </w:rPr>
        <w:t>2</w:t>
      </w:r>
      <w:r w:rsidR="000C2444" w:rsidRPr="005B06AD">
        <w:rPr>
          <w:lang w:val="it-IT"/>
        </w:rPr>
        <w:t xml:space="preserve"> è stata </w:t>
      </w:r>
      <w:r w:rsidR="008A53AD" w:rsidRPr="005B06AD">
        <w:rPr>
          <w:lang w:val="it-IT"/>
        </w:rPr>
        <w:t>misurata l’ultima volta</w:t>
      </w:r>
      <w:r w:rsidR="000C2444" w:rsidRPr="005B06AD">
        <w:rPr>
          <w:lang w:val="it-IT"/>
        </w:rPr>
        <w:t xml:space="preserve"> nel 2018 per un valore di 407 parti per milione, che si è classificato come il valore </w:t>
      </w:r>
      <w:r w:rsidR="008A53AD" w:rsidRPr="005B06AD">
        <w:rPr>
          <w:lang w:val="it-IT"/>
        </w:rPr>
        <w:t xml:space="preserve">massimo </w:t>
      </w:r>
      <w:r w:rsidR="000C2444" w:rsidRPr="005B06AD">
        <w:rPr>
          <w:lang w:val="it-IT"/>
        </w:rPr>
        <w:t>nei 39 anni di dati disponibili dal 1979.</w:t>
      </w:r>
    </w:p>
    <w:p w14:paraId="7497E9F5" w14:textId="77777777" w:rsidR="002E0F7F" w:rsidRPr="005B06AD" w:rsidRDefault="002E0F7F">
      <w:pPr>
        <w:pStyle w:val="Corpotesto"/>
        <w:spacing w:before="11"/>
        <w:ind w:left="0"/>
        <w:rPr>
          <w:sz w:val="13"/>
          <w:lang w:val="it-IT"/>
        </w:rPr>
      </w:pPr>
    </w:p>
    <w:tbl>
      <w:tblPr>
        <w:tblStyle w:val="TableNormal1"/>
        <w:tblW w:w="0" w:type="auto"/>
        <w:tblInd w:w="254" w:type="dxa"/>
        <w:tblLayout w:type="fixed"/>
        <w:tblLook w:val="01E0" w:firstRow="1" w:lastRow="1" w:firstColumn="1" w:lastColumn="1" w:noHBand="0" w:noVBand="0"/>
      </w:tblPr>
      <w:tblGrid>
        <w:gridCol w:w="5489"/>
        <w:gridCol w:w="691"/>
        <w:gridCol w:w="737"/>
        <w:gridCol w:w="1056"/>
        <w:gridCol w:w="1559"/>
      </w:tblGrid>
      <w:tr w:rsidR="005B06AD" w:rsidRPr="005B06AD" w14:paraId="441FA139" w14:textId="77777777" w:rsidTr="00DB1E83">
        <w:trPr>
          <w:trHeight w:val="498"/>
        </w:trPr>
        <w:tc>
          <w:tcPr>
            <w:tcW w:w="5489" w:type="dxa"/>
            <w:tcBorders>
              <w:top w:val="single" w:sz="4" w:space="0" w:color="000000"/>
              <w:left w:val="single" w:sz="4" w:space="0" w:color="000000"/>
            </w:tcBorders>
          </w:tcPr>
          <w:p w14:paraId="02F742CF" w14:textId="77777777" w:rsidR="002E0F7F" w:rsidRPr="005B06AD" w:rsidRDefault="0079706B">
            <w:pPr>
              <w:pStyle w:val="TableParagraph"/>
              <w:spacing w:before="113"/>
              <w:ind w:left="79" w:right="0"/>
              <w:jc w:val="left"/>
              <w:rPr>
                <w:b/>
              </w:rPr>
            </w:pPr>
            <w:proofErr w:type="spellStart"/>
            <w:r w:rsidRPr="005B06AD">
              <w:rPr>
                <w:b/>
              </w:rPr>
              <w:t>Variab</w:t>
            </w:r>
            <w:r w:rsidR="007D406A" w:rsidRPr="005B06AD">
              <w:rPr>
                <w:b/>
              </w:rPr>
              <w:t>i</w:t>
            </w:r>
            <w:r w:rsidRPr="005B06AD">
              <w:rPr>
                <w:b/>
              </w:rPr>
              <w:t>le</w:t>
            </w:r>
            <w:proofErr w:type="spellEnd"/>
          </w:p>
        </w:tc>
        <w:tc>
          <w:tcPr>
            <w:tcW w:w="691" w:type="dxa"/>
            <w:tcBorders>
              <w:top w:val="single" w:sz="4" w:space="0" w:color="000000"/>
            </w:tcBorders>
          </w:tcPr>
          <w:p w14:paraId="62CABAC4" w14:textId="77777777" w:rsidR="002E0F7F" w:rsidRPr="005B06AD" w:rsidRDefault="007D406A">
            <w:pPr>
              <w:pStyle w:val="TableParagraph"/>
              <w:spacing w:before="113"/>
              <w:ind w:left="122" w:right="49"/>
              <w:jc w:val="center"/>
              <w:rPr>
                <w:b/>
              </w:rPr>
            </w:pPr>
            <w:r w:rsidRPr="005B06AD">
              <w:rPr>
                <w:b/>
              </w:rPr>
              <w:t>Anno</w:t>
            </w:r>
          </w:p>
        </w:tc>
        <w:tc>
          <w:tcPr>
            <w:tcW w:w="737" w:type="dxa"/>
            <w:tcBorders>
              <w:top w:val="single" w:sz="4" w:space="0" w:color="000000"/>
            </w:tcBorders>
          </w:tcPr>
          <w:p w14:paraId="166BDA8F" w14:textId="77777777" w:rsidR="002E0F7F" w:rsidRPr="005B06AD" w:rsidRDefault="0079706B" w:rsidP="007D406A">
            <w:pPr>
              <w:pStyle w:val="TableParagraph"/>
              <w:spacing w:before="113"/>
              <w:rPr>
                <w:b/>
              </w:rPr>
            </w:pPr>
            <w:r w:rsidRPr="005B06AD">
              <w:rPr>
                <w:b/>
              </w:rPr>
              <w:t>Val</w:t>
            </w:r>
            <w:r w:rsidR="007D406A" w:rsidRPr="005B06AD">
              <w:rPr>
                <w:b/>
              </w:rPr>
              <w:t>or</w:t>
            </w:r>
            <w:r w:rsidRPr="005B06AD">
              <w:rPr>
                <w:b/>
              </w:rPr>
              <w:t>e</w:t>
            </w:r>
          </w:p>
        </w:tc>
        <w:tc>
          <w:tcPr>
            <w:tcW w:w="1056" w:type="dxa"/>
            <w:tcBorders>
              <w:top w:val="single" w:sz="4" w:space="0" w:color="000000"/>
            </w:tcBorders>
          </w:tcPr>
          <w:p w14:paraId="42AC52E7" w14:textId="499B0710" w:rsidR="002E0F7F" w:rsidRPr="005B06AD" w:rsidRDefault="007D406A" w:rsidP="007D406A">
            <w:pPr>
              <w:pStyle w:val="TableParagraph"/>
              <w:spacing w:before="113"/>
              <w:ind w:right="102"/>
              <w:rPr>
                <w:b/>
              </w:rPr>
            </w:pPr>
            <w:proofErr w:type="spellStart"/>
            <w:r w:rsidRPr="005B06AD">
              <w:rPr>
                <w:b/>
              </w:rPr>
              <w:t>Posiz</w:t>
            </w:r>
            <w:r w:rsidR="008A53AD" w:rsidRPr="005B06AD">
              <w:rPr>
                <w:b/>
              </w:rPr>
              <w:t>ione</w:t>
            </w:r>
            <w:proofErr w:type="spellEnd"/>
          </w:p>
        </w:tc>
        <w:tc>
          <w:tcPr>
            <w:tcW w:w="1559" w:type="dxa"/>
            <w:tcBorders>
              <w:top w:val="single" w:sz="4" w:space="0" w:color="000000"/>
              <w:right w:val="single" w:sz="4" w:space="0" w:color="000000"/>
            </w:tcBorders>
          </w:tcPr>
          <w:p w14:paraId="67F52F2C" w14:textId="19E57877" w:rsidR="002E0F7F" w:rsidRPr="005B06AD" w:rsidRDefault="007D406A" w:rsidP="007D406A">
            <w:pPr>
              <w:pStyle w:val="TableParagraph"/>
              <w:spacing w:before="113"/>
              <w:ind w:right="68"/>
              <w:rPr>
                <w:b/>
              </w:rPr>
            </w:pPr>
            <w:r w:rsidRPr="005B06AD">
              <w:rPr>
                <w:b/>
              </w:rPr>
              <w:t xml:space="preserve">Anni </w:t>
            </w:r>
            <w:proofErr w:type="spellStart"/>
            <w:r w:rsidR="008A53AD" w:rsidRPr="005B06AD">
              <w:rPr>
                <w:b/>
              </w:rPr>
              <w:t>disponibili</w:t>
            </w:r>
            <w:proofErr w:type="spellEnd"/>
          </w:p>
        </w:tc>
      </w:tr>
      <w:tr w:rsidR="005B06AD" w:rsidRPr="005B06AD" w14:paraId="4C29EB64" w14:textId="77777777" w:rsidTr="00DB1E83">
        <w:trPr>
          <w:trHeight w:val="467"/>
        </w:trPr>
        <w:tc>
          <w:tcPr>
            <w:tcW w:w="5489" w:type="dxa"/>
            <w:tcBorders>
              <w:left w:val="single" w:sz="4" w:space="0" w:color="000000"/>
            </w:tcBorders>
          </w:tcPr>
          <w:p w14:paraId="0C78D350" w14:textId="02525F71" w:rsidR="002E0F7F" w:rsidRPr="005B06AD" w:rsidRDefault="00205301" w:rsidP="007D406A">
            <w:pPr>
              <w:pStyle w:val="TableParagraph"/>
              <w:spacing w:before="76"/>
              <w:ind w:left="79" w:right="0"/>
              <w:jc w:val="left"/>
              <w:rPr>
                <w:lang w:val="it-IT"/>
              </w:rPr>
            </w:pPr>
            <w:r w:rsidRPr="005B06AD">
              <w:rPr>
                <w:lang w:val="it-IT"/>
              </w:rPr>
              <w:t>Anidride carbonica</w:t>
            </w:r>
            <w:r w:rsidR="0079706B" w:rsidRPr="005B06AD">
              <w:rPr>
                <w:lang w:val="it-IT"/>
              </w:rPr>
              <w:t xml:space="preserve"> (</w:t>
            </w:r>
            <w:r w:rsidR="007D406A" w:rsidRPr="005B06AD">
              <w:rPr>
                <w:lang w:val="it-IT"/>
              </w:rPr>
              <w:t xml:space="preserve">parti per milione di </w:t>
            </w:r>
            <w:r w:rsidR="0079706B" w:rsidRPr="005B06AD">
              <w:rPr>
                <w:lang w:val="it-IT"/>
              </w:rPr>
              <w:t>CO</w:t>
            </w:r>
            <w:r w:rsidR="0079706B" w:rsidRPr="005B06AD">
              <w:rPr>
                <w:vertAlign w:val="subscript"/>
                <w:lang w:val="it-IT"/>
              </w:rPr>
              <w:t>2</w:t>
            </w:r>
            <w:r w:rsidR="0079706B" w:rsidRPr="005B06AD">
              <w:rPr>
                <w:lang w:val="it-IT"/>
              </w:rPr>
              <w:t>)</w:t>
            </w:r>
          </w:p>
        </w:tc>
        <w:tc>
          <w:tcPr>
            <w:tcW w:w="691" w:type="dxa"/>
          </w:tcPr>
          <w:p w14:paraId="124F621B" w14:textId="77777777" w:rsidR="002E0F7F" w:rsidRPr="005B06AD" w:rsidRDefault="0079706B">
            <w:pPr>
              <w:pStyle w:val="TableParagraph"/>
              <w:spacing w:before="76"/>
              <w:ind w:left="122" w:right="83"/>
              <w:jc w:val="center"/>
            </w:pPr>
            <w:r w:rsidRPr="005B06AD">
              <w:t>2018</w:t>
            </w:r>
          </w:p>
        </w:tc>
        <w:tc>
          <w:tcPr>
            <w:tcW w:w="737" w:type="dxa"/>
          </w:tcPr>
          <w:p w14:paraId="0A736893" w14:textId="77777777" w:rsidR="002E0F7F" w:rsidRPr="005B06AD" w:rsidRDefault="0079706B">
            <w:pPr>
              <w:pStyle w:val="TableParagraph"/>
              <w:spacing w:before="76"/>
              <w:ind w:right="100"/>
            </w:pPr>
            <w:r w:rsidRPr="005B06AD">
              <w:rPr>
                <w:w w:val="95"/>
              </w:rPr>
              <w:t>407</w:t>
            </w:r>
          </w:p>
        </w:tc>
        <w:tc>
          <w:tcPr>
            <w:tcW w:w="1056" w:type="dxa"/>
          </w:tcPr>
          <w:p w14:paraId="087F7CD0" w14:textId="77777777" w:rsidR="002E0F7F" w:rsidRPr="005B06AD" w:rsidRDefault="0079706B">
            <w:pPr>
              <w:pStyle w:val="TableParagraph"/>
              <w:spacing w:before="76"/>
              <w:ind w:right="100"/>
            </w:pPr>
            <w:r w:rsidRPr="005B06AD">
              <w:rPr>
                <w:w w:val="99"/>
              </w:rPr>
              <w:t>1</w:t>
            </w:r>
          </w:p>
        </w:tc>
        <w:tc>
          <w:tcPr>
            <w:tcW w:w="1559" w:type="dxa"/>
            <w:tcBorders>
              <w:right w:val="single" w:sz="4" w:space="0" w:color="000000"/>
            </w:tcBorders>
          </w:tcPr>
          <w:p w14:paraId="1DE3EDE3" w14:textId="77777777" w:rsidR="002E0F7F" w:rsidRPr="005B06AD" w:rsidRDefault="0079706B">
            <w:pPr>
              <w:pStyle w:val="TableParagraph"/>
              <w:spacing w:before="76"/>
              <w:ind w:right="66"/>
            </w:pPr>
            <w:r w:rsidRPr="005B06AD">
              <w:rPr>
                <w:w w:val="95"/>
              </w:rPr>
              <w:t>39</w:t>
            </w:r>
          </w:p>
        </w:tc>
      </w:tr>
      <w:tr w:rsidR="005B06AD" w:rsidRPr="005B06AD" w14:paraId="6D16D6C8" w14:textId="77777777" w:rsidTr="00DB1E83">
        <w:trPr>
          <w:trHeight w:val="462"/>
        </w:trPr>
        <w:tc>
          <w:tcPr>
            <w:tcW w:w="5489" w:type="dxa"/>
            <w:tcBorders>
              <w:left w:val="single" w:sz="4" w:space="0" w:color="000000"/>
            </w:tcBorders>
          </w:tcPr>
          <w:p w14:paraId="7F383191" w14:textId="77777777" w:rsidR="002E0F7F" w:rsidRPr="005B06AD" w:rsidRDefault="0079706B" w:rsidP="007D406A">
            <w:pPr>
              <w:pStyle w:val="TableParagraph"/>
              <w:spacing w:before="71"/>
              <w:ind w:left="79" w:right="0"/>
              <w:jc w:val="left"/>
              <w:rPr>
                <w:lang w:val="it-IT"/>
              </w:rPr>
            </w:pPr>
            <w:r w:rsidRPr="005B06AD">
              <w:rPr>
                <w:lang w:val="it-IT"/>
              </w:rPr>
              <w:t>Metan</w:t>
            </w:r>
            <w:r w:rsidR="007D406A" w:rsidRPr="005B06AD">
              <w:rPr>
                <w:lang w:val="it-IT"/>
              </w:rPr>
              <w:t>o</w:t>
            </w:r>
            <w:r w:rsidRPr="005B06AD">
              <w:rPr>
                <w:lang w:val="it-IT"/>
              </w:rPr>
              <w:t xml:space="preserve"> (</w:t>
            </w:r>
            <w:r w:rsidR="007D406A" w:rsidRPr="005B06AD">
              <w:rPr>
                <w:lang w:val="it-IT"/>
              </w:rPr>
              <w:t xml:space="preserve">parti per miliardo di </w:t>
            </w:r>
            <w:r w:rsidRPr="005B06AD">
              <w:rPr>
                <w:lang w:val="it-IT"/>
              </w:rPr>
              <w:t>CH</w:t>
            </w:r>
            <w:r w:rsidRPr="005B06AD">
              <w:rPr>
                <w:vertAlign w:val="subscript"/>
                <w:lang w:val="it-IT"/>
              </w:rPr>
              <w:t>4</w:t>
            </w:r>
            <w:r w:rsidRPr="005B06AD">
              <w:rPr>
                <w:lang w:val="it-IT"/>
              </w:rPr>
              <w:t>)</w:t>
            </w:r>
          </w:p>
        </w:tc>
        <w:tc>
          <w:tcPr>
            <w:tcW w:w="691" w:type="dxa"/>
          </w:tcPr>
          <w:p w14:paraId="29D28A81" w14:textId="77777777" w:rsidR="002E0F7F" w:rsidRPr="005B06AD" w:rsidRDefault="0079706B">
            <w:pPr>
              <w:pStyle w:val="TableParagraph"/>
              <w:spacing w:before="71"/>
              <w:ind w:left="122" w:right="83"/>
              <w:jc w:val="center"/>
            </w:pPr>
            <w:r w:rsidRPr="005B06AD">
              <w:t>2018</w:t>
            </w:r>
          </w:p>
        </w:tc>
        <w:tc>
          <w:tcPr>
            <w:tcW w:w="737" w:type="dxa"/>
          </w:tcPr>
          <w:p w14:paraId="0D183009" w14:textId="77777777" w:rsidR="002E0F7F" w:rsidRPr="005B06AD" w:rsidRDefault="0079706B">
            <w:pPr>
              <w:pStyle w:val="TableParagraph"/>
              <w:spacing w:before="71"/>
              <w:ind w:right="100"/>
            </w:pPr>
            <w:r w:rsidRPr="005B06AD">
              <w:rPr>
                <w:w w:val="95"/>
              </w:rPr>
              <w:t>1860</w:t>
            </w:r>
          </w:p>
        </w:tc>
        <w:tc>
          <w:tcPr>
            <w:tcW w:w="1056" w:type="dxa"/>
          </w:tcPr>
          <w:p w14:paraId="73F79372" w14:textId="77777777" w:rsidR="002E0F7F" w:rsidRPr="005B06AD" w:rsidRDefault="0079706B">
            <w:pPr>
              <w:pStyle w:val="TableParagraph"/>
              <w:spacing w:before="71"/>
              <w:ind w:right="100"/>
            </w:pPr>
            <w:r w:rsidRPr="005B06AD">
              <w:rPr>
                <w:w w:val="99"/>
              </w:rPr>
              <w:t>1</w:t>
            </w:r>
          </w:p>
        </w:tc>
        <w:tc>
          <w:tcPr>
            <w:tcW w:w="1559" w:type="dxa"/>
            <w:tcBorders>
              <w:right w:val="single" w:sz="4" w:space="0" w:color="000000"/>
            </w:tcBorders>
          </w:tcPr>
          <w:p w14:paraId="7BE075DF" w14:textId="77777777" w:rsidR="002E0F7F" w:rsidRPr="005B06AD" w:rsidRDefault="0079706B">
            <w:pPr>
              <w:pStyle w:val="TableParagraph"/>
              <w:spacing w:before="71"/>
              <w:ind w:right="66"/>
            </w:pPr>
            <w:r w:rsidRPr="005B06AD">
              <w:rPr>
                <w:w w:val="95"/>
              </w:rPr>
              <w:t>35</w:t>
            </w:r>
          </w:p>
        </w:tc>
      </w:tr>
      <w:tr w:rsidR="005B06AD" w:rsidRPr="005B06AD" w14:paraId="4D6837B8" w14:textId="77777777" w:rsidTr="00DB1E83">
        <w:trPr>
          <w:trHeight w:val="461"/>
        </w:trPr>
        <w:tc>
          <w:tcPr>
            <w:tcW w:w="5489" w:type="dxa"/>
            <w:tcBorders>
              <w:left w:val="single" w:sz="4" w:space="0" w:color="000000"/>
            </w:tcBorders>
          </w:tcPr>
          <w:p w14:paraId="203AB0B7" w14:textId="799B773D" w:rsidR="002E0F7F" w:rsidRPr="005B06AD" w:rsidRDefault="00205301" w:rsidP="00D91CD0">
            <w:pPr>
              <w:pStyle w:val="TableParagraph"/>
              <w:spacing w:before="71"/>
              <w:ind w:left="79" w:right="0"/>
              <w:jc w:val="left"/>
              <w:rPr>
                <w:lang w:val="it-IT"/>
              </w:rPr>
            </w:pPr>
            <w:r w:rsidRPr="005B06AD">
              <w:rPr>
                <w:lang w:val="it-IT"/>
              </w:rPr>
              <w:t>Proto</w:t>
            </w:r>
            <w:r w:rsidR="00D91CD0" w:rsidRPr="005B06AD">
              <w:rPr>
                <w:lang w:val="it-IT"/>
              </w:rPr>
              <w:t xml:space="preserve">ssido di azoto </w:t>
            </w:r>
            <w:r w:rsidR="0079706B" w:rsidRPr="005B06AD">
              <w:rPr>
                <w:lang w:val="it-IT"/>
              </w:rPr>
              <w:t>(</w:t>
            </w:r>
            <w:r w:rsidR="007D406A" w:rsidRPr="005B06AD">
              <w:rPr>
                <w:lang w:val="it-IT"/>
              </w:rPr>
              <w:t xml:space="preserve">parti per miliardo di </w:t>
            </w:r>
            <w:r w:rsidR="0079706B" w:rsidRPr="005B06AD">
              <w:rPr>
                <w:lang w:val="it-IT"/>
              </w:rPr>
              <w:t>N</w:t>
            </w:r>
            <w:r w:rsidR="0079706B" w:rsidRPr="005B06AD">
              <w:rPr>
                <w:vertAlign w:val="subscript"/>
                <w:lang w:val="it-IT"/>
              </w:rPr>
              <w:t>2</w:t>
            </w:r>
            <w:r w:rsidR="0079706B" w:rsidRPr="005B06AD">
              <w:rPr>
                <w:lang w:val="it-IT"/>
              </w:rPr>
              <w:t>O)</w:t>
            </w:r>
          </w:p>
        </w:tc>
        <w:tc>
          <w:tcPr>
            <w:tcW w:w="691" w:type="dxa"/>
          </w:tcPr>
          <w:p w14:paraId="069A3247" w14:textId="77777777" w:rsidR="002E0F7F" w:rsidRPr="005B06AD" w:rsidRDefault="0079706B">
            <w:pPr>
              <w:pStyle w:val="TableParagraph"/>
              <w:spacing w:before="71"/>
              <w:ind w:left="122" w:right="83"/>
              <w:jc w:val="center"/>
            </w:pPr>
            <w:r w:rsidRPr="005B06AD">
              <w:t>2018</w:t>
            </w:r>
          </w:p>
        </w:tc>
        <w:tc>
          <w:tcPr>
            <w:tcW w:w="737" w:type="dxa"/>
          </w:tcPr>
          <w:p w14:paraId="64878071" w14:textId="77777777" w:rsidR="002E0F7F" w:rsidRPr="005B06AD" w:rsidRDefault="0079706B">
            <w:pPr>
              <w:pStyle w:val="TableParagraph"/>
              <w:spacing w:before="71"/>
              <w:ind w:right="100"/>
            </w:pPr>
            <w:r w:rsidRPr="005B06AD">
              <w:rPr>
                <w:w w:val="95"/>
              </w:rPr>
              <w:t>331</w:t>
            </w:r>
          </w:p>
        </w:tc>
        <w:tc>
          <w:tcPr>
            <w:tcW w:w="1056" w:type="dxa"/>
          </w:tcPr>
          <w:p w14:paraId="3D576729" w14:textId="77777777" w:rsidR="002E0F7F" w:rsidRPr="005B06AD" w:rsidRDefault="0079706B">
            <w:pPr>
              <w:pStyle w:val="TableParagraph"/>
              <w:spacing w:before="71"/>
              <w:ind w:right="100"/>
            </w:pPr>
            <w:r w:rsidRPr="005B06AD">
              <w:rPr>
                <w:w w:val="99"/>
              </w:rPr>
              <w:t>1</w:t>
            </w:r>
          </w:p>
        </w:tc>
        <w:tc>
          <w:tcPr>
            <w:tcW w:w="1559" w:type="dxa"/>
            <w:tcBorders>
              <w:right w:val="single" w:sz="4" w:space="0" w:color="000000"/>
            </w:tcBorders>
          </w:tcPr>
          <w:p w14:paraId="5D1D7040" w14:textId="77777777" w:rsidR="002E0F7F" w:rsidRPr="005B06AD" w:rsidRDefault="0079706B">
            <w:pPr>
              <w:pStyle w:val="TableParagraph"/>
              <w:spacing w:before="71"/>
              <w:ind w:right="66"/>
            </w:pPr>
            <w:r w:rsidRPr="005B06AD">
              <w:rPr>
                <w:w w:val="95"/>
              </w:rPr>
              <w:t>40</w:t>
            </w:r>
          </w:p>
        </w:tc>
      </w:tr>
      <w:tr w:rsidR="005B06AD" w:rsidRPr="005B06AD" w14:paraId="0D518203" w14:textId="77777777" w:rsidTr="00DB1E83">
        <w:trPr>
          <w:trHeight w:val="436"/>
        </w:trPr>
        <w:tc>
          <w:tcPr>
            <w:tcW w:w="5489" w:type="dxa"/>
            <w:tcBorders>
              <w:left w:val="single" w:sz="4" w:space="0" w:color="000000"/>
            </w:tcBorders>
          </w:tcPr>
          <w:p w14:paraId="322E59F9" w14:textId="77777777" w:rsidR="002E0F7F" w:rsidRPr="005B06AD" w:rsidRDefault="00D91CD0" w:rsidP="00D91CD0">
            <w:pPr>
              <w:pStyle w:val="TableParagraph"/>
              <w:spacing w:before="71"/>
              <w:ind w:left="79" w:right="0"/>
              <w:jc w:val="left"/>
              <w:rPr>
                <w:lang w:val="it-IT"/>
              </w:rPr>
            </w:pPr>
            <w:r w:rsidRPr="005B06AD">
              <w:rPr>
                <w:lang w:val="it-IT"/>
              </w:rPr>
              <w:t xml:space="preserve">Variazione di </w:t>
            </w:r>
            <w:r w:rsidR="0079706B" w:rsidRPr="005B06AD">
              <w:rPr>
                <w:lang w:val="it-IT"/>
              </w:rPr>
              <w:t>temperatur</w:t>
            </w:r>
            <w:r w:rsidRPr="005B06AD">
              <w:rPr>
                <w:lang w:val="it-IT"/>
              </w:rPr>
              <w:t>a superficial</w:t>
            </w:r>
            <w:r w:rsidR="0079706B" w:rsidRPr="005B06AD">
              <w:rPr>
                <w:lang w:val="it-IT"/>
              </w:rPr>
              <w:t>e (°C)</w:t>
            </w:r>
          </w:p>
        </w:tc>
        <w:tc>
          <w:tcPr>
            <w:tcW w:w="691" w:type="dxa"/>
          </w:tcPr>
          <w:p w14:paraId="373E6DEA" w14:textId="77777777" w:rsidR="002E0F7F" w:rsidRPr="005B06AD" w:rsidRDefault="0079706B">
            <w:pPr>
              <w:pStyle w:val="TableParagraph"/>
              <w:spacing w:before="71"/>
              <w:ind w:left="122" w:right="83"/>
              <w:jc w:val="center"/>
            </w:pPr>
            <w:r w:rsidRPr="005B06AD">
              <w:t>2018</w:t>
            </w:r>
          </w:p>
        </w:tc>
        <w:tc>
          <w:tcPr>
            <w:tcW w:w="737" w:type="dxa"/>
          </w:tcPr>
          <w:p w14:paraId="710B7648" w14:textId="77777777" w:rsidR="002E0F7F" w:rsidRPr="005B06AD" w:rsidRDefault="0079706B">
            <w:pPr>
              <w:pStyle w:val="TableParagraph"/>
              <w:spacing w:before="71"/>
            </w:pPr>
            <w:r w:rsidRPr="005B06AD">
              <w:rPr>
                <w:w w:val="95"/>
              </w:rPr>
              <w:t>0.85</w:t>
            </w:r>
          </w:p>
        </w:tc>
        <w:tc>
          <w:tcPr>
            <w:tcW w:w="1056" w:type="dxa"/>
          </w:tcPr>
          <w:p w14:paraId="5FC5A4E9" w14:textId="77777777" w:rsidR="002E0F7F" w:rsidRPr="005B06AD" w:rsidRDefault="0079706B">
            <w:pPr>
              <w:pStyle w:val="TableParagraph"/>
              <w:spacing w:before="71"/>
              <w:ind w:right="100"/>
            </w:pPr>
            <w:r w:rsidRPr="005B06AD">
              <w:rPr>
                <w:w w:val="99"/>
              </w:rPr>
              <w:t>4</w:t>
            </w:r>
          </w:p>
        </w:tc>
        <w:tc>
          <w:tcPr>
            <w:tcW w:w="1559" w:type="dxa"/>
            <w:tcBorders>
              <w:right w:val="single" w:sz="4" w:space="0" w:color="000000"/>
            </w:tcBorders>
          </w:tcPr>
          <w:p w14:paraId="3C54691E" w14:textId="77777777" w:rsidR="002E0F7F" w:rsidRPr="005B06AD" w:rsidRDefault="0079706B">
            <w:pPr>
              <w:pStyle w:val="TableParagraph"/>
              <w:spacing w:before="71"/>
              <w:ind w:right="66"/>
            </w:pPr>
            <w:r w:rsidRPr="005B06AD">
              <w:rPr>
                <w:w w:val="95"/>
              </w:rPr>
              <w:t>40</w:t>
            </w:r>
          </w:p>
        </w:tc>
      </w:tr>
      <w:tr w:rsidR="005B06AD" w:rsidRPr="005B06AD" w14:paraId="093700AE" w14:textId="77777777" w:rsidTr="00DB1E83">
        <w:trPr>
          <w:trHeight w:val="482"/>
        </w:trPr>
        <w:tc>
          <w:tcPr>
            <w:tcW w:w="5489" w:type="dxa"/>
            <w:tcBorders>
              <w:left w:val="single" w:sz="4" w:space="0" w:color="000000"/>
            </w:tcBorders>
          </w:tcPr>
          <w:p w14:paraId="0AF565F7" w14:textId="77777777" w:rsidR="002E0F7F" w:rsidRPr="005B06AD" w:rsidRDefault="0079706B" w:rsidP="00D91CD0">
            <w:pPr>
              <w:pStyle w:val="TableParagraph"/>
              <w:spacing w:before="96"/>
              <w:ind w:left="79" w:right="0"/>
              <w:jc w:val="left"/>
              <w:rPr>
                <w:lang w:val="it-IT"/>
              </w:rPr>
            </w:pPr>
            <w:r w:rsidRPr="005B06AD">
              <w:rPr>
                <w:lang w:val="it-IT"/>
              </w:rPr>
              <w:t>Minim</w:t>
            </w:r>
            <w:r w:rsidR="00D91CD0" w:rsidRPr="005B06AD">
              <w:rPr>
                <w:lang w:val="it-IT"/>
              </w:rPr>
              <w:t>o del ghiaccio marino ar</w:t>
            </w:r>
            <w:r w:rsidRPr="005B06AD">
              <w:rPr>
                <w:lang w:val="it-IT"/>
              </w:rPr>
              <w:t>tic</w:t>
            </w:r>
            <w:r w:rsidR="00D91CD0" w:rsidRPr="005B06AD">
              <w:rPr>
                <w:lang w:val="it-IT"/>
              </w:rPr>
              <w:t>o (mi</w:t>
            </w:r>
            <w:r w:rsidRPr="005B06AD">
              <w:rPr>
                <w:lang w:val="it-IT"/>
              </w:rPr>
              <w:t>lion</w:t>
            </w:r>
            <w:r w:rsidR="00D91CD0" w:rsidRPr="005B06AD">
              <w:rPr>
                <w:lang w:val="it-IT"/>
              </w:rPr>
              <w:t>i di</w:t>
            </w:r>
            <w:r w:rsidRPr="005B06AD">
              <w:rPr>
                <w:lang w:val="it-IT"/>
              </w:rPr>
              <w:t xml:space="preserve"> km</w:t>
            </w:r>
            <w:r w:rsidRPr="005B06AD">
              <w:rPr>
                <w:vertAlign w:val="superscript"/>
                <w:lang w:val="it-IT"/>
              </w:rPr>
              <w:t>2</w:t>
            </w:r>
            <w:r w:rsidRPr="005B06AD">
              <w:rPr>
                <w:lang w:val="it-IT"/>
              </w:rPr>
              <w:t>)</w:t>
            </w:r>
          </w:p>
        </w:tc>
        <w:tc>
          <w:tcPr>
            <w:tcW w:w="691" w:type="dxa"/>
          </w:tcPr>
          <w:p w14:paraId="0355630A" w14:textId="77777777" w:rsidR="002E0F7F" w:rsidRPr="005B06AD" w:rsidRDefault="0079706B">
            <w:pPr>
              <w:pStyle w:val="TableParagraph"/>
              <w:spacing w:before="96"/>
              <w:ind w:left="122" w:right="83"/>
              <w:jc w:val="center"/>
            </w:pPr>
            <w:r w:rsidRPr="005B06AD">
              <w:t>2018</w:t>
            </w:r>
          </w:p>
        </w:tc>
        <w:tc>
          <w:tcPr>
            <w:tcW w:w="737" w:type="dxa"/>
          </w:tcPr>
          <w:p w14:paraId="7DC533D9" w14:textId="77777777" w:rsidR="002E0F7F" w:rsidRPr="005B06AD" w:rsidRDefault="0079706B">
            <w:pPr>
              <w:pStyle w:val="TableParagraph"/>
              <w:spacing w:before="96"/>
              <w:ind w:right="100"/>
            </w:pPr>
            <w:r w:rsidRPr="005B06AD">
              <w:rPr>
                <w:w w:val="95"/>
              </w:rPr>
              <w:t>4.6</w:t>
            </w:r>
          </w:p>
        </w:tc>
        <w:tc>
          <w:tcPr>
            <w:tcW w:w="1056" w:type="dxa"/>
          </w:tcPr>
          <w:p w14:paraId="1162F509" w14:textId="77777777" w:rsidR="002E0F7F" w:rsidRPr="005B06AD" w:rsidRDefault="0079706B">
            <w:pPr>
              <w:pStyle w:val="TableParagraph"/>
              <w:spacing w:before="96"/>
              <w:ind w:right="100"/>
            </w:pPr>
            <w:r w:rsidRPr="005B06AD">
              <w:rPr>
                <w:w w:val="95"/>
              </w:rPr>
              <w:t>35</w:t>
            </w:r>
          </w:p>
        </w:tc>
        <w:tc>
          <w:tcPr>
            <w:tcW w:w="1559" w:type="dxa"/>
            <w:tcBorders>
              <w:right w:val="single" w:sz="4" w:space="0" w:color="000000"/>
            </w:tcBorders>
          </w:tcPr>
          <w:p w14:paraId="1C5F25BA" w14:textId="77777777" w:rsidR="002E0F7F" w:rsidRPr="005B06AD" w:rsidRDefault="0079706B">
            <w:pPr>
              <w:pStyle w:val="TableParagraph"/>
              <w:spacing w:before="96"/>
              <w:ind w:right="66"/>
            </w:pPr>
            <w:r w:rsidRPr="005B06AD">
              <w:rPr>
                <w:w w:val="95"/>
              </w:rPr>
              <w:t>40</w:t>
            </w:r>
          </w:p>
        </w:tc>
      </w:tr>
      <w:tr w:rsidR="005B06AD" w:rsidRPr="005B06AD" w14:paraId="4D126677" w14:textId="77777777" w:rsidTr="00DB1E83">
        <w:trPr>
          <w:trHeight w:val="462"/>
        </w:trPr>
        <w:tc>
          <w:tcPr>
            <w:tcW w:w="5489" w:type="dxa"/>
            <w:tcBorders>
              <w:left w:val="single" w:sz="4" w:space="0" w:color="000000"/>
            </w:tcBorders>
          </w:tcPr>
          <w:p w14:paraId="1E21B7DA" w14:textId="1447D08D" w:rsidR="002E0F7F" w:rsidRPr="005B06AD" w:rsidRDefault="00D91CD0" w:rsidP="00D91CD0">
            <w:pPr>
              <w:pStyle w:val="TableParagraph"/>
              <w:spacing w:before="76"/>
              <w:ind w:left="79" w:right="0"/>
              <w:jc w:val="left"/>
              <w:rPr>
                <w:lang w:val="it-IT"/>
              </w:rPr>
            </w:pPr>
            <w:r w:rsidRPr="005B06AD">
              <w:rPr>
                <w:lang w:val="it-IT"/>
              </w:rPr>
              <w:t xml:space="preserve">Variazione della massa di ghiaccio in </w:t>
            </w:r>
            <w:r w:rsidR="0079706B" w:rsidRPr="005B06AD">
              <w:rPr>
                <w:lang w:val="it-IT"/>
              </w:rPr>
              <w:t>Gr</w:t>
            </w:r>
            <w:r w:rsidRPr="005B06AD">
              <w:rPr>
                <w:lang w:val="it-IT"/>
              </w:rPr>
              <w:t>o</w:t>
            </w:r>
            <w:r w:rsidR="0079706B" w:rsidRPr="005B06AD">
              <w:rPr>
                <w:lang w:val="it-IT"/>
              </w:rPr>
              <w:t>enlandi</w:t>
            </w:r>
            <w:r w:rsidRPr="005B06AD">
              <w:rPr>
                <w:lang w:val="it-IT"/>
              </w:rPr>
              <w:t>a</w:t>
            </w:r>
            <w:r w:rsidR="0079706B" w:rsidRPr="005B06AD">
              <w:rPr>
                <w:lang w:val="it-IT"/>
              </w:rPr>
              <w:t xml:space="preserve"> (</w:t>
            </w:r>
            <w:r w:rsidR="00205301" w:rsidRPr="005B06AD">
              <w:rPr>
                <w:lang w:val="it-IT"/>
              </w:rPr>
              <w:t>miliardi di tonnellate</w:t>
            </w:r>
            <w:r w:rsidR="0079706B" w:rsidRPr="005B06AD">
              <w:rPr>
                <w:lang w:val="it-IT"/>
              </w:rPr>
              <w:t>)</w:t>
            </w:r>
          </w:p>
        </w:tc>
        <w:tc>
          <w:tcPr>
            <w:tcW w:w="691" w:type="dxa"/>
          </w:tcPr>
          <w:p w14:paraId="0E96F938" w14:textId="77777777" w:rsidR="002E0F7F" w:rsidRPr="005B06AD" w:rsidRDefault="0079706B">
            <w:pPr>
              <w:pStyle w:val="TableParagraph"/>
              <w:spacing w:before="76"/>
              <w:ind w:left="122" w:right="83"/>
              <w:jc w:val="center"/>
            </w:pPr>
            <w:r w:rsidRPr="005B06AD">
              <w:t>2016</w:t>
            </w:r>
          </w:p>
        </w:tc>
        <w:tc>
          <w:tcPr>
            <w:tcW w:w="737" w:type="dxa"/>
          </w:tcPr>
          <w:p w14:paraId="50E396B6" w14:textId="77777777" w:rsidR="002E0F7F" w:rsidRPr="005B06AD" w:rsidRDefault="0079706B">
            <w:pPr>
              <w:pStyle w:val="TableParagraph"/>
              <w:spacing w:before="76"/>
              <w:ind w:right="100"/>
            </w:pPr>
            <w:r w:rsidRPr="005B06AD">
              <w:t>-3660</w:t>
            </w:r>
          </w:p>
        </w:tc>
        <w:tc>
          <w:tcPr>
            <w:tcW w:w="1056" w:type="dxa"/>
          </w:tcPr>
          <w:p w14:paraId="461994E4" w14:textId="77777777" w:rsidR="002E0F7F" w:rsidRPr="005B06AD" w:rsidRDefault="0079706B">
            <w:pPr>
              <w:pStyle w:val="TableParagraph"/>
              <w:spacing w:before="76"/>
              <w:ind w:right="100"/>
            </w:pPr>
            <w:r w:rsidRPr="005B06AD">
              <w:rPr>
                <w:w w:val="95"/>
              </w:rPr>
              <w:t>14</w:t>
            </w:r>
          </w:p>
        </w:tc>
        <w:tc>
          <w:tcPr>
            <w:tcW w:w="1559" w:type="dxa"/>
            <w:tcBorders>
              <w:right w:val="single" w:sz="4" w:space="0" w:color="000000"/>
            </w:tcBorders>
          </w:tcPr>
          <w:p w14:paraId="5E71C153" w14:textId="77777777" w:rsidR="002E0F7F" w:rsidRPr="005B06AD" w:rsidRDefault="0079706B">
            <w:pPr>
              <w:pStyle w:val="TableParagraph"/>
              <w:spacing w:before="76"/>
              <w:ind w:right="66"/>
            </w:pPr>
            <w:r w:rsidRPr="005B06AD">
              <w:rPr>
                <w:w w:val="95"/>
              </w:rPr>
              <w:t>14</w:t>
            </w:r>
          </w:p>
        </w:tc>
      </w:tr>
      <w:tr w:rsidR="005B06AD" w:rsidRPr="005B06AD" w14:paraId="32B2360C" w14:textId="77777777" w:rsidTr="00DB1E83">
        <w:trPr>
          <w:trHeight w:val="462"/>
        </w:trPr>
        <w:tc>
          <w:tcPr>
            <w:tcW w:w="5489" w:type="dxa"/>
            <w:tcBorders>
              <w:left w:val="single" w:sz="4" w:space="0" w:color="000000"/>
            </w:tcBorders>
          </w:tcPr>
          <w:p w14:paraId="55F1D0D9" w14:textId="2791963D" w:rsidR="002E0F7F" w:rsidRPr="005B06AD" w:rsidRDefault="00D91CD0" w:rsidP="00D91CD0">
            <w:pPr>
              <w:pStyle w:val="TableParagraph"/>
              <w:spacing w:before="76"/>
              <w:ind w:left="79" w:right="0"/>
              <w:jc w:val="left"/>
              <w:rPr>
                <w:lang w:val="it-IT"/>
              </w:rPr>
            </w:pPr>
            <w:r w:rsidRPr="005B06AD">
              <w:rPr>
                <w:lang w:val="it-IT"/>
              </w:rPr>
              <w:t xml:space="preserve">Variazione della massa di ghiaccio in </w:t>
            </w:r>
            <w:r w:rsidR="0079706B" w:rsidRPr="005B06AD">
              <w:rPr>
                <w:lang w:val="it-IT"/>
              </w:rPr>
              <w:t>Antarti</w:t>
            </w:r>
            <w:r w:rsidRPr="005B06AD">
              <w:rPr>
                <w:lang w:val="it-IT"/>
              </w:rPr>
              <w:t>de</w:t>
            </w:r>
            <w:r w:rsidR="0079706B" w:rsidRPr="005B06AD">
              <w:rPr>
                <w:lang w:val="it-IT"/>
              </w:rPr>
              <w:t xml:space="preserve"> (</w:t>
            </w:r>
            <w:r w:rsidR="00205301" w:rsidRPr="005B06AD">
              <w:rPr>
                <w:lang w:val="it-IT"/>
              </w:rPr>
              <w:t>miliardi di tonnellate</w:t>
            </w:r>
            <w:r w:rsidR="0079706B" w:rsidRPr="005B06AD">
              <w:rPr>
                <w:lang w:val="it-IT"/>
              </w:rPr>
              <w:t>)</w:t>
            </w:r>
          </w:p>
        </w:tc>
        <w:tc>
          <w:tcPr>
            <w:tcW w:w="691" w:type="dxa"/>
          </w:tcPr>
          <w:p w14:paraId="38E60B12" w14:textId="77777777" w:rsidR="002E0F7F" w:rsidRPr="005B06AD" w:rsidRDefault="0079706B">
            <w:pPr>
              <w:pStyle w:val="TableParagraph"/>
              <w:spacing w:before="76"/>
              <w:ind w:left="122" w:right="83"/>
              <w:jc w:val="center"/>
            </w:pPr>
            <w:r w:rsidRPr="005B06AD">
              <w:t>2016</w:t>
            </w:r>
          </w:p>
        </w:tc>
        <w:tc>
          <w:tcPr>
            <w:tcW w:w="737" w:type="dxa"/>
          </w:tcPr>
          <w:p w14:paraId="6C437D24" w14:textId="77777777" w:rsidR="002E0F7F" w:rsidRPr="005B06AD" w:rsidRDefault="0079706B">
            <w:pPr>
              <w:pStyle w:val="TableParagraph"/>
              <w:spacing w:before="76"/>
              <w:ind w:right="100"/>
            </w:pPr>
            <w:r w:rsidRPr="005B06AD">
              <w:t>-1640</w:t>
            </w:r>
          </w:p>
        </w:tc>
        <w:tc>
          <w:tcPr>
            <w:tcW w:w="1056" w:type="dxa"/>
          </w:tcPr>
          <w:p w14:paraId="7424B27B" w14:textId="77777777" w:rsidR="002E0F7F" w:rsidRPr="005B06AD" w:rsidRDefault="0079706B">
            <w:pPr>
              <w:pStyle w:val="TableParagraph"/>
              <w:spacing w:before="76"/>
              <w:ind w:right="100"/>
            </w:pPr>
            <w:r w:rsidRPr="005B06AD">
              <w:rPr>
                <w:w w:val="95"/>
              </w:rPr>
              <w:t>13</w:t>
            </w:r>
          </w:p>
        </w:tc>
        <w:tc>
          <w:tcPr>
            <w:tcW w:w="1559" w:type="dxa"/>
            <w:tcBorders>
              <w:right w:val="single" w:sz="4" w:space="0" w:color="000000"/>
            </w:tcBorders>
          </w:tcPr>
          <w:p w14:paraId="3EE001CF" w14:textId="77777777" w:rsidR="002E0F7F" w:rsidRPr="005B06AD" w:rsidRDefault="0079706B">
            <w:pPr>
              <w:pStyle w:val="TableParagraph"/>
              <w:spacing w:before="76"/>
              <w:ind w:right="66"/>
            </w:pPr>
            <w:r w:rsidRPr="005B06AD">
              <w:rPr>
                <w:w w:val="95"/>
              </w:rPr>
              <w:t>14</w:t>
            </w:r>
          </w:p>
        </w:tc>
      </w:tr>
      <w:tr w:rsidR="005B06AD" w:rsidRPr="005B06AD" w14:paraId="26054912" w14:textId="77777777" w:rsidTr="00DB1E83">
        <w:trPr>
          <w:trHeight w:val="441"/>
        </w:trPr>
        <w:tc>
          <w:tcPr>
            <w:tcW w:w="5489" w:type="dxa"/>
            <w:tcBorders>
              <w:left w:val="single" w:sz="4" w:space="0" w:color="000000"/>
            </w:tcBorders>
          </w:tcPr>
          <w:p w14:paraId="79D027A6" w14:textId="268144BC" w:rsidR="002E0F7F" w:rsidRPr="005B06AD" w:rsidRDefault="00D91CD0" w:rsidP="00D91CD0">
            <w:pPr>
              <w:pStyle w:val="TableParagraph"/>
              <w:spacing w:before="76"/>
              <w:ind w:left="79" w:right="0"/>
              <w:jc w:val="left"/>
              <w:rPr>
                <w:lang w:val="it-IT"/>
              </w:rPr>
            </w:pPr>
            <w:r w:rsidRPr="005B06AD">
              <w:rPr>
                <w:lang w:val="it-IT"/>
              </w:rPr>
              <w:t xml:space="preserve">Variazione dello spessore dei ghiacciai </w:t>
            </w:r>
            <w:r w:rsidR="0079706B" w:rsidRPr="005B06AD">
              <w:rPr>
                <w:lang w:val="it-IT"/>
              </w:rPr>
              <w:t xml:space="preserve">(m </w:t>
            </w:r>
            <w:r w:rsidRPr="005B06AD">
              <w:rPr>
                <w:lang w:val="it-IT"/>
              </w:rPr>
              <w:t>di acqua</w:t>
            </w:r>
            <w:r w:rsidR="00871400" w:rsidRPr="005B06AD">
              <w:rPr>
                <w:lang w:val="it-IT"/>
              </w:rPr>
              <w:t xml:space="preserve"> dolce</w:t>
            </w:r>
            <w:r w:rsidRPr="005B06AD">
              <w:rPr>
                <w:lang w:val="it-IT"/>
              </w:rPr>
              <w:t xml:space="preserve"> </w:t>
            </w:r>
            <w:r w:rsidR="0079706B" w:rsidRPr="005B06AD">
              <w:rPr>
                <w:lang w:val="it-IT"/>
              </w:rPr>
              <w:t>equivalent</w:t>
            </w:r>
            <w:r w:rsidRPr="005B06AD">
              <w:rPr>
                <w:lang w:val="it-IT"/>
              </w:rPr>
              <w:t>e</w:t>
            </w:r>
            <w:r w:rsidR="0079706B" w:rsidRPr="005B06AD">
              <w:rPr>
                <w:lang w:val="it-IT"/>
              </w:rPr>
              <w:t>)</w:t>
            </w:r>
          </w:p>
        </w:tc>
        <w:tc>
          <w:tcPr>
            <w:tcW w:w="691" w:type="dxa"/>
          </w:tcPr>
          <w:p w14:paraId="418DFB79" w14:textId="77777777" w:rsidR="002E0F7F" w:rsidRPr="005B06AD" w:rsidRDefault="0079706B">
            <w:pPr>
              <w:pStyle w:val="TableParagraph"/>
              <w:spacing w:before="76"/>
              <w:ind w:left="122" w:right="83"/>
              <w:jc w:val="center"/>
            </w:pPr>
            <w:r w:rsidRPr="005B06AD">
              <w:t>2018</w:t>
            </w:r>
          </w:p>
        </w:tc>
        <w:tc>
          <w:tcPr>
            <w:tcW w:w="737" w:type="dxa"/>
          </w:tcPr>
          <w:p w14:paraId="7EF527A5" w14:textId="77777777" w:rsidR="002E0F7F" w:rsidRPr="005B06AD" w:rsidRDefault="0079706B">
            <w:pPr>
              <w:pStyle w:val="TableParagraph"/>
              <w:spacing w:before="76"/>
            </w:pPr>
            <w:r w:rsidRPr="005B06AD">
              <w:t>-21.1</w:t>
            </w:r>
          </w:p>
        </w:tc>
        <w:tc>
          <w:tcPr>
            <w:tcW w:w="1056" w:type="dxa"/>
          </w:tcPr>
          <w:p w14:paraId="1DFEEB37" w14:textId="77777777" w:rsidR="002E0F7F" w:rsidRPr="005B06AD" w:rsidRDefault="0079706B">
            <w:pPr>
              <w:pStyle w:val="TableParagraph"/>
              <w:spacing w:before="76"/>
              <w:ind w:right="100"/>
            </w:pPr>
            <w:r w:rsidRPr="005B06AD">
              <w:rPr>
                <w:w w:val="95"/>
              </w:rPr>
              <w:t>40</w:t>
            </w:r>
          </w:p>
        </w:tc>
        <w:tc>
          <w:tcPr>
            <w:tcW w:w="1559" w:type="dxa"/>
            <w:tcBorders>
              <w:right w:val="single" w:sz="4" w:space="0" w:color="000000"/>
            </w:tcBorders>
          </w:tcPr>
          <w:p w14:paraId="579263A3" w14:textId="77777777" w:rsidR="002E0F7F" w:rsidRPr="005B06AD" w:rsidRDefault="0079706B">
            <w:pPr>
              <w:pStyle w:val="TableParagraph"/>
              <w:spacing w:before="76"/>
              <w:ind w:right="66"/>
            </w:pPr>
            <w:r w:rsidRPr="005B06AD">
              <w:rPr>
                <w:w w:val="95"/>
              </w:rPr>
              <w:t>40</w:t>
            </w:r>
          </w:p>
        </w:tc>
      </w:tr>
      <w:tr w:rsidR="005B06AD" w:rsidRPr="005B06AD" w14:paraId="25383836" w14:textId="77777777" w:rsidTr="00DB1E83">
        <w:trPr>
          <w:trHeight w:val="482"/>
        </w:trPr>
        <w:tc>
          <w:tcPr>
            <w:tcW w:w="5489" w:type="dxa"/>
            <w:tcBorders>
              <w:left w:val="single" w:sz="4" w:space="0" w:color="000000"/>
            </w:tcBorders>
          </w:tcPr>
          <w:p w14:paraId="33D0FDBF" w14:textId="77777777" w:rsidR="002E0F7F" w:rsidRPr="005B06AD" w:rsidRDefault="00D91CD0" w:rsidP="00D91CD0">
            <w:pPr>
              <w:pStyle w:val="TableParagraph"/>
              <w:spacing w:before="96"/>
              <w:ind w:left="79" w:right="0"/>
              <w:jc w:val="left"/>
              <w:rPr>
                <w:lang w:val="it-IT"/>
              </w:rPr>
            </w:pPr>
            <w:r w:rsidRPr="005B06AD">
              <w:rPr>
                <w:lang w:val="it-IT"/>
              </w:rPr>
              <w:t>Variazione del contenuto di calore negli o</w:t>
            </w:r>
            <w:r w:rsidR="0079706B" w:rsidRPr="005B06AD">
              <w:rPr>
                <w:lang w:val="it-IT"/>
              </w:rPr>
              <w:t>cean</w:t>
            </w:r>
            <w:r w:rsidRPr="005B06AD">
              <w:rPr>
                <w:lang w:val="it-IT"/>
              </w:rPr>
              <w:t>i</w:t>
            </w:r>
            <w:r w:rsidR="0079706B" w:rsidRPr="005B06AD">
              <w:rPr>
                <w:lang w:val="it-IT"/>
              </w:rPr>
              <w:t xml:space="preserve"> (10</w:t>
            </w:r>
            <w:r w:rsidR="0079706B" w:rsidRPr="005B06AD">
              <w:rPr>
                <w:vertAlign w:val="superscript"/>
                <w:lang w:val="it-IT"/>
              </w:rPr>
              <w:t>22</w:t>
            </w:r>
            <w:r w:rsidR="0079706B" w:rsidRPr="005B06AD">
              <w:rPr>
                <w:lang w:val="it-IT"/>
              </w:rPr>
              <w:t xml:space="preserve"> joule)</w:t>
            </w:r>
          </w:p>
        </w:tc>
        <w:tc>
          <w:tcPr>
            <w:tcW w:w="691" w:type="dxa"/>
          </w:tcPr>
          <w:p w14:paraId="73A369CA" w14:textId="77777777" w:rsidR="002E0F7F" w:rsidRPr="005B06AD" w:rsidRDefault="0079706B">
            <w:pPr>
              <w:pStyle w:val="TableParagraph"/>
              <w:spacing w:before="96"/>
              <w:ind w:left="122" w:right="83"/>
              <w:jc w:val="center"/>
            </w:pPr>
            <w:r w:rsidRPr="005B06AD">
              <w:t>2016</w:t>
            </w:r>
          </w:p>
        </w:tc>
        <w:tc>
          <w:tcPr>
            <w:tcW w:w="737" w:type="dxa"/>
          </w:tcPr>
          <w:p w14:paraId="5F1E6FAE" w14:textId="77777777" w:rsidR="002E0F7F" w:rsidRPr="005B06AD" w:rsidRDefault="0079706B">
            <w:pPr>
              <w:pStyle w:val="TableParagraph"/>
              <w:spacing w:before="96"/>
            </w:pPr>
            <w:r w:rsidRPr="005B06AD">
              <w:rPr>
                <w:w w:val="95"/>
              </w:rPr>
              <w:t>21.9</w:t>
            </w:r>
          </w:p>
        </w:tc>
        <w:tc>
          <w:tcPr>
            <w:tcW w:w="1056" w:type="dxa"/>
          </w:tcPr>
          <w:p w14:paraId="2DAF4572" w14:textId="77777777" w:rsidR="002E0F7F" w:rsidRPr="005B06AD" w:rsidRDefault="0079706B">
            <w:pPr>
              <w:pStyle w:val="TableParagraph"/>
              <w:spacing w:before="96"/>
              <w:ind w:right="100"/>
            </w:pPr>
            <w:r w:rsidRPr="005B06AD">
              <w:rPr>
                <w:w w:val="99"/>
              </w:rPr>
              <w:t>1</w:t>
            </w:r>
          </w:p>
        </w:tc>
        <w:tc>
          <w:tcPr>
            <w:tcW w:w="1559" w:type="dxa"/>
            <w:tcBorders>
              <w:right w:val="single" w:sz="4" w:space="0" w:color="000000"/>
            </w:tcBorders>
          </w:tcPr>
          <w:p w14:paraId="3807FB15" w14:textId="77777777" w:rsidR="002E0F7F" w:rsidRPr="005B06AD" w:rsidRDefault="0079706B">
            <w:pPr>
              <w:pStyle w:val="TableParagraph"/>
              <w:spacing w:before="96"/>
              <w:ind w:right="66"/>
            </w:pPr>
            <w:r w:rsidRPr="005B06AD">
              <w:rPr>
                <w:w w:val="95"/>
              </w:rPr>
              <w:t>38</w:t>
            </w:r>
          </w:p>
        </w:tc>
      </w:tr>
      <w:tr w:rsidR="005B06AD" w:rsidRPr="005B06AD" w14:paraId="3C3EF63F" w14:textId="77777777" w:rsidTr="00DB1E83">
        <w:trPr>
          <w:trHeight w:val="462"/>
        </w:trPr>
        <w:tc>
          <w:tcPr>
            <w:tcW w:w="5489" w:type="dxa"/>
            <w:tcBorders>
              <w:left w:val="single" w:sz="4" w:space="0" w:color="000000"/>
            </w:tcBorders>
          </w:tcPr>
          <w:p w14:paraId="78D13273" w14:textId="77777777" w:rsidR="002E0F7F" w:rsidRPr="005B06AD" w:rsidRDefault="00D91CD0" w:rsidP="00D91CD0">
            <w:pPr>
              <w:pStyle w:val="TableParagraph"/>
              <w:spacing w:before="76"/>
              <w:ind w:left="79" w:right="0"/>
              <w:jc w:val="left"/>
            </w:pPr>
            <w:proofErr w:type="spellStart"/>
            <w:r w:rsidRPr="005B06AD">
              <w:t>Acidità</w:t>
            </w:r>
            <w:proofErr w:type="spellEnd"/>
            <w:r w:rsidRPr="005B06AD">
              <w:t xml:space="preserve"> </w:t>
            </w:r>
            <w:proofErr w:type="spellStart"/>
            <w:r w:rsidRPr="005B06AD">
              <w:t>degli</w:t>
            </w:r>
            <w:proofErr w:type="spellEnd"/>
            <w:r w:rsidRPr="005B06AD">
              <w:t xml:space="preserve"> </w:t>
            </w:r>
            <w:proofErr w:type="spellStart"/>
            <w:r w:rsidRPr="005B06AD">
              <w:t>o</w:t>
            </w:r>
            <w:r w:rsidR="0079706B" w:rsidRPr="005B06AD">
              <w:t>cean</w:t>
            </w:r>
            <w:r w:rsidRPr="005B06AD">
              <w:t>i</w:t>
            </w:r>
            <w:proofErr w:type="spellEnd"/>
            <w:r w:rsidR="0079706B" w:rsidRPr="005B06AD">
              <w:t xml:space="preserve"> (pH)</w:t>
            </w:r>
          </w:p>
        </w:tc>
        <w:tc>
          <w:tcPr>
            <w:tcW w:w="691" w:type="dxa"/>
          </w:tcPr>
          <w:p w14:paraId="0C8966E2" w14:textId="77777777" w:rsidR="002E0F7F" w:rsidRPr="005B06AD" w:rsidRDefault="0079706B">
            <w:pPr>
              <w:pStyle w:val="TableParagraph"/>
              <w:spacing w:before="76"/>
              <w:ind w:left="122" w:right="83"/>
              <w:jc w:val="center"/>
            </w:pPr>
            <w:r w:rsidRPr="005B06AD">
              <w:t>2017</w:t>
            </w:r>
          </w:p>
        </w:tc>
        <w:tc>
          <w:tcPr>
            <w:tcW w:w="737" w:type="dxa"/>
          </w:tcPr>
          <w:p w14:paraId="0E3C9E62" w14:textId="77777777" w:rsidR="002E0F7F" w:rsidRPr="005B06AD" w:rsidRDefault="0079706B">
            <w:pPr>
              <w:pStyle w:val="TableParagraph"/>
              <w:spacing w:before="76"/>
            </w:pPr>
            <w:r w:rsidRPr="005B06AD">
              <w:rPr>
                <w:w w:val="95"/>
              </w:rPr>
              <w:t>8.06</w:t>
            </w:r>
          </w:p>
        </w:tc>
        <w:tc>
          <w:tcPr>
            <w:tcW w:w="1056" w:type="dxa"/>
          </w:tcPr>
          <w:p w14:paraId="4694C482" w14:textId="77777777" w:rsidR="002E0F7F" w:rsidRPr="005B06AD" w:rsidRDefault="0079706B">
            <w:pPr>
              <w:pStyle w:val="TableParagraph"/>
              <w:spacing w:before="76"/>
              <w:ind w:right="100"/>
            </w:pPr>
            <w:r w:rsidRPr="005B06AD">
              <w:rPr>
                <w:w w:val="95"/>
              </w:rPr>
              <w:t>29</w:t>
            </w:r>
          </w:p>
        </w:tc>
        <w:tc>
          <w:tcPr>
            <w:tcW w:w="1559" w:type="dxa"/>
            <w:tcBorders>
              <w:right w:val="single" w:sz="4" w:space="0" w:color="000000"/>
            </w:tcBorders>
          </w:tcPr>
          <w:p w14:paraId="54437DD3" w14:textId="77777777" w:rsidR="002E0F7F" w:rsidRPr="005B06AD" w:rsidRDefault="0079706B">
            <w:pPr>
              <w:pStyle w:val="TableParagraph"/>
              <w:spacing w:before="76"/>
              <w:ind w:right="66"/>
            </w:pPr>
            <w:r w:rsidRPr="005B06AD">
              <w:rPr>
                <w:w w:val="95"/>
              </w:rPr>
              <w:t>29</w:t>
            </w:r>
          </w:p>
        </w:tc>
      </w:tr>
      <w:tr w:rsidR="005B06AD" w:rsidRPr="005B06AD" w14:paraId="61175855" w14:textId="77777777" w:rsidTr="00DB1E83">
        <w:trPr>
          <w:trHeight w:val="462"/>
        </w:trPr>
        <w:tc>
          <w:tcPr>
            <w:tcW w:w="5489" w:type="dxa"/>
            <w:tcBorders>
              <w:left w:val="single" w:sz="4" w:space="0" w:color="000000"/>
            </w:tcBorders>
          </w:tcPr>
          <w:p w14:paraId="5679AC9F" w14:textId="77777777" w:rsidR="002E0F7F" w:rsidRPr="005B06AD" w:rsidRDefault="00D91CD0" w:rsidP="00D91CD0">
            <w:pPr>
              <w:pStyle w:val="TableParagraph"/>
              <w:spacing w:before="76"/>
              <w:ind w:left="79" w:right="0"/>
              <w:jc w:val="left"/>
              <w:rPr>
                <w:lang w:val="it-IT"/>
              </w:rPr>
            </w:pPr>
            <w:r w:rsidRPr="005B06AD">
              <w:rPr>
                <w:lang w:val="it-IT"/>
              </w:rPr>
              <w:t>Variazione del li</w:t>
            </w:r>
            <w:r w:rsidR="0079706B" w:rsidRPr="005B06AD">
              <w:rPr>
                <w:lang w:val="it-IT"/>
              </w:rPr>
              <w:t>vel</w:t>
            </w:r>
            <w:r w:rsidRPr="005B06AD">
              <w:rPr>
                <w:lang w:val="it-IT"/>
              </w:rPr>
              <w:t>lo del mare</w:t>
            </w:r>
            <w:r w:rsidR="0079706B" w:rsidRPr="005B06AD">
              <w:rPr>
                <w:lang w:val="it-IT"/>
              </w:rPr>
              <w:t xml:space="preserve"> (cm)</w:t>
            </w:r>
          </w:p>
        </w:tc>
        <w:tc>
          <w:tcPr>
            <w:tcW w:w="691" w:type="dxa"/>
          </w:tcPr>
          <w:p w14:paraId="14E03285" w14:textId="77777777" w:rsidR="002E0F7F" w:rsidRPr="005B06AD" w:rsidRDefault="0079706B">
            <w:pPr>
              <w:pStyle w:val="TableParagraph"/>
              <w:spacing w:before="76"/>
              <w:ind w:left="122" w:right="83"/>
              <w:jc w:val="center"/>
            </w:pPr>
            <w:r w:rsidRPr="005B06AD">
              <w:t>2018</w:t>
            </w:r>
          </w:p>
        </w:tc>
        <w:tc>
          <w:tcPr>
            <w:tcW w:w="737" w:type="dxa"/>
          </w:tcPr>
          <w:p w14:paraId="77FEDB39" w14:textId="77777777" w:rsidR="002E0F7F" w:rsidRPr="005B06AD" w:rsidRDefault="0079706B">
            <w:pPr>
              <w:pStyle w:val="TableParagraph"/>
              <w:spacing w:before="76"/>
            </w:pPr>
            <w:r w:rsidRPr="005B06AD">
              <w:rPr>
                <w:w w:val="95"/>
              </w:rPr>
              <w:t>42.8</w:t>
            </w:r>
          </w:p>
        </w:tc>
        <w:tc>
          <w:tcPr>
            <w:tcW w:w="1056" w:type="dxa"/>
          </w:tcPr>
          <w:p w14:paraId="072D21C8" w14:textId="77777777" w:rsidR="002E0F7F" w:rsidRPr="005B06AD" w:rsidRDefault="0079706B">
            <w:pPr>
              <w:pStyle w:val="TableParagraph"/>
              <w:spacing w:before="76"/>
              <w:ind w:right="100"/>
            </w:pPr>
            <w:r w:rsidRPr="005B06AD">
              <w:rPr>
                <w:w w:val="99"/>
              </w:rPr>
              <w:t>1</w:t>
            </w:r>
          </w:p>
        </w:tc>
        <w:tc>
          <w:tcPr>
            <w:tcW w:w="1559" w:type="dxa"/>
            <w:tcBorders>
              <w:right w:val="single" w:sz="4" w:space="0" w:color="000000"/>
            </w:tcBorders>
          </w:tcPr>
          <w:p w14:paraId="6975A3BC" w14:textId="77777777" w:rsidR="002E0F7F" w:rsidRPr="005B06AD" w:rsidRDefault="0079706B">
            <w:pPr>
              <w:pStyle w:val="TableParagraph"/>
              <w:spacing w:before="76"/>
              <w:ind w:right="66"/>
            </w:pPr>
            <w:r w:rsidRPr="005B06AD">
              <w:rPr>
                <w:w w:val="95"/>
              </w:rPr>
              <w:t>26</w:t>
            </w:r>
          </w:p>
        </w:tc>
      </w:tr>
      <w:tr w:rsidR="005B06AD" w:rsidRPr="005B06AD" w14:paraId="365FE8BB" w14:textId="77777777" w:rsidTr="00DB1E83">
        <w:trPr>
          <w:trHeight w:val="462"/>
        </w:trPr>
        <w:tc>
          <w:tcPr>
            <w:tcW w:w="5489" w:type="dxa"/>
            <w:tcBorders>
              <w:left w:val="single" w:sz="4" w:space="0" w:color="000000"/>
            </w:tcBorders>
          </w:tcPr>
          <w:p w14:paraId="57A4AA71" w14:textId="3091D592" w:rsidR="002E0F7F" w:rsidRPr="005B06AD" w:rsidRDefault="0079706B" w:rsidP="00D91CD0">
            <w:pPr>
              <w:pStyle w:val="TableParagraph"/>
              <w:spacing w:before="76"/>
              <w:ind w:left="79" w:right="0"/>
              <w:jc w:val="left"/>
              <w:rPr>
                <w:lang w:val="it-IT"/>
              </w:rPr>
            </w:pPr>
            <w:r w:rsidRPr="005B06AD">
              <w:rPr>
                <w:lang w:val="it-IT"/>
              </w:rPr>
              <w:t xml:space="preserve">Area </w:t>
            </w:r>
            <w:r w:rsidR="00871400" w:rsidRPr="005B06AD">
              <w:rPr>
                <w:lang w:val="it-IT"/>
              </w:rPr>
              <w:t>percorsa da incendi</w:t>
            </w:r>
            <w:r w:rsidR="00D91CD0" w:rsidRPr="005B06AD">
              <w:rPr>
                <w:lang w:val="it-IT"/>
              </w:rPr>
              <w:t xml:space="preserve"> negli </w:t>
            </w:r>
            <w:r w:rsidRPr="005B06AD">
              <w:rPr>
                <w:lang w:val="it-IT"/>
              </w:rPr>
              <w:t>Stat</w:t>
            </w:r>
            <w:r w:rsidR="00D91CD0" w:rsidRPr="005B06AD">
              <w:rPr>
                <w:lang w:val="it-IT"/>
              </w:rPr>
              <w:t>i</w:t>
            </w:r>
            <w:r w:rsidRPr="005B06AD">
              <w:rPr>
                <w:lang w:val="it-IT"/>
              </w:rPr>
              <w:t xml:space="preserve"> </w:t>
            </w:r>
            <w:r w:rsidR="00D91CD0" w:rsidRPr="005B06AD">
              <w:rPr>
                <w:lang w:val="it-IT"/>
              </w:rPr>
              <w:t>Uniti (mi</w:t>
            </w:r>
            <w:r w:rsidRPr="005B06AD">
              <w:rPr>
                <w:lang w:val="it-IT"/>
              </w:rPr>
              <w:t>lion</w:t>
            </w:r>
            <w:r w:rsidR="00D91CD0" w:rsidRPr="005B06AD">
              <w:rPr>
                <w:lang w:val="it-IT"/>
              </w:rPr>
              <w:t>i di</w:t>
            </w:r>
            <w:r w:rsidRPr="005B06AD">
              <w:rPr>
                <w:lang w:val="it-IT"/>
              </w:rPr>
              <w:t xml:space="preserve"> </w:t>
            </w:r>
            <w:r w:rsidR="00D91CD0" w:rsidRPr="005B06AD">
              <w:rPr>
                <w:lang w:val="it-IT"/>
              </w:rPr>
              <w:t>et</w:t>
            </w:r>
            <w:r w:rsidRPr="005B06AD">
              <w:rPr>
                <w:lang w:val="it-IT"/>
              </w:rPr>
              <w:t>tar</w:t>
            </w:r>
            <w:r w:rsidR="00D91CD0" w:rsidRPr="005B06AD">
              <w:rPr>
                <w:lang w:val="it-IT"/>
              </w:rPr>
              <w:t>i</w:t>
            </w:r>
            <w:r w:rsidRPr="005B06AD">
              <w:rPr>
                <w:lang w:val="it-IT"/>
              </w:rPr>
              <w:t>/</w:t>
            </w:r>
            <w:r w:rsidR="00D91CD0" w:rsidRPr="005B06AD">
              <w:rPr>
                <w:lang w:val="it-IT"/>
              </w:rPr>
              <w:t>anno</w:t>
            </w:r>
            <w:r w:rsidRPr="005B06AD">
              <w:rPr>
                <w:lang w:val="it-IT"/>
              </w:rPr>
              <w:t>)</w:t>
            </w:r>
          </w:p>
        </w:tc>
        <w:tc>
          <w:tcPr>
            <w:tcW w:w="691" w:type="dxa"/>
          </w:tcPr>
          <w:p w14:paraId="632B8AAA" w14:textId="77777777" w:rsidR="002E0F7F" w:rsidRPr="005B06AD" w:rsidRDefault="0079706B">
            <w:pPr>
              <w:pStyle w:val="TableParagraph"/>
              <w:spacing w:before="76"/>
              <w:ind w:left="122" w:right="83"/>
              <w:jc w:val="center"/>
            </w:pPr>
            <w:r w:rsidRPr="005B06AD">
              <w:t>2018</w:t>
            </w:r>
          </w:p>
        </w:tc>
        <w:tc>
          <w:tcPr>
            <w:tcW w:w="737" w:type="dxa"/>
          </w:tcPr>
          <w:p w14:paraId="18737EE4" w14:textId="77777777" w:rsidR="002E0F7F" w:rsidRPr="005B06AD" w:rsidRDefault="0079706B">
            <w:pPr>
              <w:pStyle w:val="TableParagraph"/>
              <w:spacing w:before="76"/>
            </w:pPr>
            <w:r w:rsidRPr="005B06AD">
              <w:rPr>
                <w:w w:val="95"/>
              </w:rPr>
              <w:t>3.55</w:t>
            </w:r>
          </w:p>
        </w:tc>
        <w:tc>
          <w:tcPr>
            <w:tcW w:w="1056" w:type="dxa"/>
          </w:tcPr>
          <w:p w14:paraId="21D7B038" w14:textId="77777777" w:rsidR="002E0F7F" w:rsidRPr="005B06AD" w:rsidRDefault="0079706B">
            <w:pPr>
              <w:pStyle w:val="TableParagraph"/>
              <w:spacing w:before="76"/>
              <w:ind w:right="100"/>
            </w:pPr>
            <w:r w:rsidRPr="005B06AD">
              <w:rPr>
                <w:w w:val="99"/>
              </w:rPr>
              <w:t>6</w:t>
            </w:r>
          </w:p>
        </w:tc>
        <w:tc>
          <w:tcPr>
            <w:tcW w:w="1559" w:type="dxa"/>
            <w:tcBorders>
              <w:right w:val="single" w:sz="4" w:space="0" w:color="000000"/>
            </w:tcBorders>
          </w:tcPr>
          <w:p w14:paraId="6A902171" w14:textId="77777777" w:rsidR="002E0F7F" w:rsidRPr="005B06AD" w:rsidRDefault="0079706B">
            <w:pPr>
              <w:pStyle w:val="TableParagraph"/>
              <w:spacing w:before="76"/>
              <w:ind w:right="66"/>
            </w:pPr>
            <w:r w:rsidRPr="005B06AD">
              <w:rPr>
                <w:w w:val="95"/>
              </w:rPr>
              <w:t>36</w:t>
            </w:r>
          </w:p>
        </w:tc>
      </w:tr>
      <w:tr w:rsidR="005B06AD" w:rsidRPr="005B06AD" w14:paraId="5C1BAED5" w14:textId="77777777" w:rsidTr="00DB1E83">
        <w:trPr>
          <w:trHeight w:val="462"/>
        </w:trPr>
        <w:tc>
          <w:tcPr>
            <w:tcW w:w="5489" w:type="dxa"/>
            <w:tcBorders>
              <w:left w:val="single" w:sz="4" w:space="0" w:color="000000"/>
            </w:tcBorders>
          </w:tcPr>
          <w:p w14:paraId="1870315E" w14:textId="7B21A59F" w:rsidR="002E0F7F" w:rsidRPr="005B06AD" w:rsidRDefault="00D91CD0" w:rsidP="00D91CD0">
            <w:pPr>
              <w:pStyle w:val="TableParagraph"/>
              <w:spacing w:before="76"/>
              <w:ind w:left="79" w:right="0"/>
              <w:jc w:val="left"/>
              <w:rPr>
                <w:lang w:val="it-IT"/>
              </w:rPr>
            </w:pPr>
            <w:r w:rsidRPr="005B06AD">
              <w:rPr>
                <w:lang w:val="it-IT"/>
              </w:rPr>
              <w:t xml:space="preserve">Eventi estremi meteo/clima/idrologici </w:t>
            </w:r>
            <w:r w:rsidR="0079706B" w:rsidRPr="005B06AD">
              <w:rPr>
                <w:lang w:val="it-IT"/>
              </w:rPr>
              <w:t>(</w:t>
            </w:r>
            <w:r w:rsidR="00B31549" w:rsidRPr="005B06AD">
              <w:rPr>
                <w:lang w:val="it-IT"/>
              </w:rPr>
              <w:t>numero</w:t>
            </w:r>
            <w:r w:rsidR="0079706B" w:rsidRPr="005B06AD">
              <w:rPr>
                <w:lang w:val="it-IT"/>
              </w:rPr>
              <w:t>/</w:t>
            </w:r>
            <w:r w:rsidRPr="005B06AD">
              <w:rPr>
                <w:lang w:val="it-IT"/>
              </w:rPr>
              <w:t>anno</w:t>
            </w:r>
            <w:r w:rsidR="0079706B" w:rsidRPr="005B06AD">
              <w:rPr>
                <w:lang w:val="it-IT"/>
              </w:rPr>
              <w:t>)</w:t>
            </w:r>
          </w:p>
        </w:tc>
        <w:tc>
          <w:tcPr>
            <w:tcW w:w="691" w:type="dxa"/>
          </w:tcPr>
          <w:p w14:paraId="2322980D" w14:textId="77777777" w:rsidR="002E0F7F" w:rsidRPr="005B06AD" w:rsidRDefault="0079706B">
            <w:pPr>
              <w:pStyle w:val="TableParagraph"/>
              <w:spacing w:before="76"/>
              <w:ind w:left="122" w:right="83"/>
              <w:jc w:val="center"/>
            </w:pPr>
            <w:r w:rsidRPr="005B06AD">
              <w:t>2018</w:t>
            </w:r>
          </w:p>
        </w:tc>
        <w:tc>
          <w:tcPr>
            <w:tcW w:w="737" w:type="dxa"/>
          </w:tcPr>
          <w:p w14:paraId="012FE758" w14:textId="77777777" w:rsidR="002E0F7F" w:rsidRPr="005B06AD" w:rsidRDefault="0079706B">
            <w:pPr>
              <w:pStyle w:val="TableParagraph"/>
              <w:spacing w:before="76"/>
              <w:ind w:right="100"/>
            </w:pPr>
            <w:r w:rsidRPr="005B06AD">
              <w:rPr>
                <w:w w:val="95"/>
              </w:rPr>
              <w:t>798</w:t>
            </w:r>
          </w:p>
        </w:tc>
        <w:tc>
          <w:tcPr>
            <w:tcW w:w="1056" w:type="dxa"/>
          </w:tcPr>
          <w:p w14:paraId="25CACC6C" w14:textId="77777777" w:rsidR="002E0F7F" w:rsidRPr="005B06AD" w:rsidRDefault="0079706B">
            <w:pPr>
              <w:pStyle w:val="TableParagraph"/>
              <w:spacing w:before="76"/>
              <w:ind w:right="100"/>
            </w:pPr>
            <w:r w:rsidRPr="005B06AD">
              <w:rPr>
                <w:w w:val="99"/>
              </w:rPr>
              <w:t>1</w:t>
            </w:r>
          </w:p>
        </w:tc>
        <w:tc>
          <w:tcPr>
            <w:tcW w:w="1559" w:type="dxa"/>
            <w:tcBorders>
              <w:right w:val="single" w:sz="4" w:space="0" w:color="000000"/>
            </w:tcBorders>
          </w:tcPr>
          <w:p w14:paraId="70112094" w14:textId="77777777" w:rsidR="002E0F7F" w:rsidRPr="005B06AD" w:rsidRDefault="0079706B">
            <w:pPr>
              <w:pStyle w:val="TableParagraph"/>
              <w:spacing w:before="76"/>
              <w:ind w:right="66"/>
            </w:pPr>
            <w:r w:rsidRPr="005B06AD">
              <w:rPr>
                <w:w w:val="95"/>
              </w:rPr>
              <w:t>39</w:t>
            </w:r>
          </w:p>
        </w:tc>
      </w:tr>
      <w:tr w:rsidR="005B06AD" w:rsidRPr="005B06AD" w14:paraId="43C0E6D1" w14:textId="77777777" w:rsidTr="00DB1E83">
        <w:trPr>
          <w:trHeight w:val="426"/>
        </w:trPr>
        <w:tc>
          <w:tcPr>
            <w:tcW w:w="5489" w:type="dxa"/>
            <w:tcBorders>
              <w:left w:val="single" w:sz="4" w:space="0" w:color="000000"/>
              <w:bottom w:val="single" w:sz="4" w:space="0" w:color="000000"/>
            </w:tcBorders>
          </w:tcPr>
          <w:p w14:paraId="2D0F1A8A" w14:textId="5B9251D8" w:rsidR="002E0F7F" w:rsidRPr="005B06AD" w:rsidRDefault="00B31549" w:rsidP="00D91CD0">
            <w:pPr>
              <w:pStyle w:val="TableParagraph"/>
              <w:spacing w:before="76"/>
              <w:ind w:left="79" w:right="0"/>
              <w:jc w:val="left"/>
              <w:rPr>
                <w:lang w:val="it-IT"/>
              </w:rPr>
            </w:pPr>
            <w:r w:rsidRPr="005B06AD">
              <w:rPr>
                <w:lang w:val="it-IT"/>
              </w:rPr>
              <w:t>Danni</w:t>
            </w:r>
            <w:r w:rsidR="00D91CD0" w:rsidRPr="005B06AD">
              <w:rPr>
                <w:lang w:val="it-IT"/>
              </w:rPr>
              <w:t xml:space="preserve"> </w:t>
            </w:r>
            <w:r w:rsidRPr="005B06AD">
              <w:rPr>
                <w:lang w:val="it-IT"/>
              </w:rPr>
              <w:t>da</w:t>
            </w:r>
            <w:r w:rsidR="00D91CD0" w:rsidRPr="005B06AD">
              <w:rPr>
                <w:lang w:val="it-IT"/>
              </w:rPr>
              <w:t xml:space="preserve"> eventi meteo/clima/idrologici </w:t>
            </w:r>
            <w:r w:rsidR="0079706B" w:rsidRPr="005B06AD">
              <w:rPr>
                <w:lang w:val="it-IT"/>
              </w:rPr>
              <w:t>(</w:t>
            </w:r>
            <w:r w:rsidR="00D91CD0" w:rsidRPr="005B06AD">
              <w:rPr>
                <w:lang w:val="it-IT"/>
              </w:rPr>
              <w:t>miliardi di</w:t>
            </w:r>
            <w:r w:rsidR="0079706B" w:rsidRPr="005B06AD">
              <w:rPr>
                <w:lang w:val="it-IT"/>
              </w:rPr>
              <w:t xml:space="preserve"> </w:t>
            </w:r>
            <w:r w:rsidRPr="005B06AD">
              <w:rPr>
                <w:lang w:val="it-IT"/>
              </w:rPr>
              <w:t>dollari USA/anno</w:t>
            </w:r>
            <w:r w:rsidR="0079706B" w:rsidRPr="005B06AD">
              <w:rPr>
                <w:lang w:val="it-IT"/>
              </w:rPr>
              <w:t>)</w:t>
            </w:r>
          </w:p>
        </w:tc>
        <w:tc>
          <w:tcPr>
            <w:tcW w:w="691" w:type="dxa"/>
            <w:tcBorders>
              <w:bottom w:val="single" w:sz="4" w:space="0" w:color="000000"/>
            </w:tcBorders>
          </w:tcPr>
          <w:p w14:paraId="3779EEF5" w14:textId="77777777" w:rsidR="002E0F7F" w:rsidRPr="005B06AD" w:rsidRDefault="0079706B">
            <w:pPr>
              <w:pStyle w:val="TableParagraph"/>
              <w:spacing w:before="76"/>
              <w:ind w:left="122" w:right="83"/>
              <w:jc w:val="center"/>
            </w:pPr>
            <w:r w:rsidRPr="005B06AD">
              <w:t>2018</w:t>
            </w:r>
          </w:p>
        </w:tc>
        <w:tc>
          <w:tcPr>
            <w:tcW w:w="737" w:type="dxa"/>
            <w:tcBorders>
              <w:bottom w:val="single" w:sz="4" w:space="0" w:color="000000"/>
            </w:tcBorders>
          </w:tcPr>
          <w:p w14:paraId="5BD10A23" w14:textId="77777777" w:rsidR="002E0F7F" w:rsidRPr="005B06AD" w:rsidRDefault="0079706B">
            <w:pPr>
              <w:pStyle w:val="TableParagraph"/>
              <w:spacing w:before="76"/>
              <w:ind w:right="100"/>
            </w:pPr>
            <w:r w:rsidRPr="005B06AD">
              <w:rPr>
                <w:w w:val="95"/>
              </w:rPr>
              <w:t>166</w:t>
            </w:r>
          </w:p>
        </w:tc>
        <w:tc>
          <w:tcPr>
            <w:tcW w:w="1056" w:type="dxa"/>
            <w:tcBorders>
              <w:bottom w:val="single" w:sz="4" w:space="0" w:color="000000"/>
            </w:tcBorders>
          </w:tcPr>
          <w:p w14:paraId="7D7ED872" w14:textId="77777777" w:rsidR="002E0F7F" w:rsidRPr="005B06AD" w:rsidRDefault="0079706B">
            <w:pPr>
              <w:pStyle w:val="TableParagraph"/>
              <w:spacing w:before="76"/>
              <w:ind w:right="100"/>
            </w:pPr>
            <w:r w:rsidRPr="005B06AD">
              <w:rPr>
                <w:w w:val="99"/>
              </w:rPr>
              <w:t>4</w:t>
            </w:r>
          </w:p>
        </w:tc>
        <w:tc>
          <w:tcPr>
            <w:tcW w:w="1559" w:type="dxa"/>
            <w:tcBorders>
              <w:bottom w:val="single" w:sz="4" w:space="0" w:color="000000"/>
              <w:right w:val="single" w:sz="4" w:space="0" w:color="000000"/>
            </w:tcBorders>
          </w:tcPr>
          <w:p w14:paraId="064297A9" w14:textId="77777777" w:rsidR="002E0F7F" w:rsidRPr="005B06AD" w:rsidRDefault="0079706B">
            <w:pPr>
              <w:pStyle w:val="TableParagraph"/>
              <w:spacing w:before="76"/>
              <w:ind w:right="66"/>
            </w:pPr>
            <w:r w:rsidRPr="005B06AD">
              <w:rPr>
                <w:w w:val="95"/>
              </w:rPr>
              <w:t>39</w:t>
            </w:r>
          </w:p>
        </w:tc>
      </w:tr>
    </w:tbl>
    <w:p w14:paraId="5A63B126" w14:textId="77777777" w:rsidR="002E0F7F" w:rsidRPr="005B06AD" w:rsidRDefault="002E0F7F">
      <w:pPr>
        <w:sectPr w:rsidR="002E0F7F" w:rsidRPr="005B06AD">
          <w:pgSz w:w="12240" w:h="15840"/>
          <w:pgMar w:top="1080" w:right="1040" w:bottom="940" w:left="880" w:header="0" w:footer="744" w:gutter="0"/>
          <w:cols w:space="720"/>
        </w:sectPr>
      </w:pPr>
    </w:p>
    <w:p w14:paraId="3D8FD4BF" w14:textId="77777777" w:rsidR="002E0F7F" w:rsidRPr="005B06AD" w:rsidRDefault="009D7E56" w:rsidP="00F767EA">
      <w:pPr>
        <w:pStyle w:val="Titolo2"/>
        <w:jc w:val="both"/>
        <w:rPr>
          <w:b w:val="0"/>
          <w:sz w:val="27"/>
          <w:lang w:val="it-IT"/>
        </w:rPr>
      </w:pPr>
      <w:bookmarkStart w:id="1" w:name="_TOC_250002"/>
      <w:bookmarkEnd w:id="1"/>
      <w:r w:rsidRPr="005B06AD">
        <w:rPr>
          <w:lang w:val="it-IT"/>
        </w:rPr>
        <w:lastRenderedPageBreak/>
        <w:t>Altri indicatori</w:t>
      </w:r>
      <w:r w:rsidR="0079706B" w:rsidRPr="005B06AD">
        <w:rPr>
          <w:lang w:val="it-IT"/>
        </w:rPr>
        <w:t xml:space="preserve"> gra</w:t>
      </w:r>
      <w:r w:rsidRPr="005B06AD">
        <w:rPr>
          <w:lang w:val="it-IT"/>
        </w:rPr>
        <w:t>f</w:t>
      </w:r>
      <w:r w:rsidR="0079706B" w:rsidRPr="005B06AD">
        <w:rPr>
          <w:lang w:val="it-IT"/>
        </w:rPr>
        <w:t>ic</w:t>
      </w:r>
      <w:r w:rsidRPr="005B06AD">
        <w:rPr>
          <w:lang w:val="it-IT"/>
        </w:rPr>
        <w:t>i</w:t>
      </w:r>
    </w:p>
    <w:p w14:paraId="51E18A56" w14:textId="77777777" w:rsidR="002E0F7F" w:rsidRPr="005B06AD" w:rsidRDefault="0079706B" w:rsidP="00F767EA">
      <w:pPr>
        <w:pStyle w:val="Corpotesto"/>
        <w:spacing w:line="259" w:lineRule="auto"/>
        <w:ind w:right="95"/>
        <w:jc w:val="both"/>
        <w:rPr>
          <w:lang w:val="it-IT"/>
        </w:rPr>
      </w:pPr>
      <w:r w:rsidRPr="005B06AD">
        <w:rPr>
          <w:u w:val="single"/>
          <w:lang w:val="it-IT"/>
        </w:rPr>
        <w:t xml:space="preserve">Global Climate </w:t>
      </w:r>
      <w:proofErr w:type="spellStart"/>
      <w:r w:rsidRPr="005B06AD">
        <w:rPr>
          <w:u w:val="single"/>
          <w:lang w:val="it-IT"/>
        </w:rPr>
        <w:t>Observing</w:t>
      </w:r>
      <w:proofErr w:type="spellEnd"/>
      <w:r w:rsidRPr="005B06AD">
        <w:rPr>
          <w:u w:val="single"/>
          <w:lang w:val="it-IT"/>
        </w:rPr>
        <w:t xml:space="preserve"> System (GCOS)</w:t>
      </w:r>
      <w:r w:rsidRPr="005B06AD">
        <w:rPr>
          <w:lang w:val="it-IT"/>
        </w:rPr>
        <w:t xml:space="preserve">- </w:t>
      </w:r>
      <w:r w:rsidR="002918A0" w:rsidRPr="005B06AD">
        <w:rPr>
          <w:lang w:val="it-IT"/>
        </w:rPr>
        <w:t>utilizza sette indicatori climatici tra cui temperatura superficiale, calore nell’oceano, CO</w:t>
      </w:r>
      <w:r w:rsidR="002918A0" w:rsidRPr="005B06AD">
        <w:rPr>
          <w:vertAlign w:val="subscript"/>
          <w:lang w:val="it-IT"/>
        </w:rPr>
        <w:t>2</w:t>
      </w:r>
      <w:r w:rsidR="002918A0" w:rsidRPr="005B06AD">
        <w:rPr>
          <w:lang w:val="it-IT"/>
        </w:rPr>
        <w:t xml:space="preserve"> atmosferica, acidificazione degli oceani, livello del mare, estensione dei ghiacciai e del ghiaccio marino artico e antartico</w:t>
      </w:r>
      <w:r w:rsidRPr="005B06AD">
        <w:rPr>
          <w:lang w:val="it-IT"/>
        </w:rPr>
        <w:t xml:space="preserve">. </w:t>
      </w:r>
      <w:hyperlink r:id="rId10">
        <w:r w:rsidRPr="005B06AD">
          <w:rPr>
            <w:u w:val="single" w:color="000000"/>
            <w:lang w:val="it-IT"/>
          </w:rPr>
          <w:t>https://gcos.wmo.int/en/home</w:t>
        </w:r>
      </w:hyperlink>
    </w:p>
    <w:p w14:paraId="5484F51C" w14:textId="77777777" w:rsidR="002E0F7F" w:rsidRPr="005B06AD" w:rsidRDefault="0079706B" w:rsidP="00F767EA">
      <w:pPr>
        <w:pStyle w:val="Corpotesto"/>
        <w:spacing w:before="90" w:line="259" w:lineRule="auto"/>
        <w:ind w:right="635"/>
        <w:jc w:val="both"/>
        <w:rPr>
          <w:lang w:val="it-IT"/>
        </w:rPr>
      </w:pPr>
      <w:r w:rsidRPr="005B06AD">
        <w:rPr>
          <w:u w:val="single"/>
          <w:lang w:val="it-IT"/>
        </w:rPr>
        <w:t xml:space="preserve">NASA </w:t>
      </w:r>
      <w:proofErr w:type="spellStart"/>
      <w:r w:rsidRPr="005B06AD">
        <w:rPr>
          <w:u w:val="single"/>
          <w:lang w:val="it-IT"/>
        </w:rPr>
        <w:t>vital</w:t>
      </w:r>
      <w:proofErr w:type="spellEnd"/>
      <w:r w:rsidRPr="005B06AD">
        <w:rPr>
          <w:u w:val="single"/>
          <w:lang w:val="it-IT"/>
        </w:rPr>
        <w:t xml:space="preserve"> </w:t>
      </w:r>
      <w:proofErr w:type="spellStart"/>
      <w:r w:rsidRPr="005B06AD">
        <w:rPr>
          <w:u w:val="single"/>
          <w:lang w:val="it-IT"/>
        </w:rPr>
        <w:t>signs</w:t>
      </w:r>
      <w:proofErr w:type="spellEnd"/>
      <w:r w:rsidRPr="005B06AD">
        <w:rPr>
          <w:u w:val="single"/>
          <w:lang w:val="it-IT"/>
        </w:rPr>
        <w:t xml:space="preserve"> of the </w:t>
      </w:r>
      <w:proofErr w:type="spellStart"/>
      <w:r w:rsidRPr="005B06AD">
        <w:rPr>
          <w:u w:val="single"/>
          <w:lang w:val="it-IT"/>
        </w:rPr>
        <w:t>planet</w:t>
      </w:r>
      <w:proofErr w:type="spellEnd"/>
      <w:r w:rsidRPr="005B06AD">
        <w:rPr>
          <w:lang w:val="it-IT"/>
        </w:rPr>
        <w:t xml:space="preserve">- </w:t>
      </w:r>
      <w:r w:rsidR="002918A0" w:rsidRPr="005B06AD">
        <w:rPr>
          <w:lang w:val="it-IT"/>
        </w:rPr>
        <w:t xml:space="preserve">utilizza cinque indicatori climatici tra cui temperatura globale, minimo del ghiaccio artico, calotte glaciali, livello del mare e </w:t>
      </w:r>
      <w:r w:rsidRPr="005B06AD">
        <w:rPr>
          <w:lang w:val="it-IT"/>
        </w:rPr>
        <w:t>CO</w:t>
      </w:r>
      <w:r w:rsidRPr="005B06AD">
        <w:rPr>
          <w:vertAlign w:val="subscript"/>
          <w:lang w:val="it-IT"/>
        </w:rPr>
        <w:t>2</w:t>
      </w:r>
      <w:r w:rsidRPr="005B06AD">
        <w:rPr>
          <w:lang w:val="it-IT"/>
        </w:rPr>
        <w:t xml:space="preserve">. </w:t>
      </w:r>
      <w:hyperlink r:id="rId11">
        <w:r w:rsidRPr="005B06AD">
          <w:rPr>
            <w:u w:val="single" w:color="000000"/>
            <w:lang w:val="it-IT"/>
          </w:rPr>
          <w:t>https://climate.nasa.gov/</w:t>
        </w:r>
      </w:hyperlink>
    </w:p>
    <w:p w14:paraId="0BBC1448" w14:textId="77777777" w:rsidR="002E0F7F" w:rsidRPr="005B06AD" w:rsidRDefault="0079706B" w:rsidP="00F767EA">
      <w:pPr>
        <w:pStyle w:val="Corpotesto"/>
        <w:spacing w:before="90" w:line="259" w:lineRule="auto"/>
        <w:ind w:right="104"/>
        <w:jc w:val="both"/>
        <w:rPr>
          <w:lang w:val="it-IT"/>
        </w:rPr>
      </w:pPr>
      <w:r w:rsidRPr="005B06AD">
        <w:rPr>
          <w:u w:val="single"/>
          <w:lang w:val="it-IT"/>
        </w:rPr>
        <w:t>2 Degrees Institute</w:t>
      </w:r>
      <w:r w:rsidRPr="005B06AD">
        <w:rPr>
          <w:lang w:val="it-IT"/>
        </w:rPr>
        <w:t xml:space="preserve">- </w:t>
      </w:r>
      <w:r w:rsidR="007C4628" w:rsidRPr="005B06AD">
        <w:rPr>
          <w:lang w:val="it-IT"/>
        </w:rPr>
        <w:t>utiliz</w:t>
      </w:r>
      <w:r w:rsidR="006F509C" w:rsidRPr="005B06AD">
        <w:rPr>
          <w:lang w:val="it-IT"/>
        </w:rPr>
        <w:t>z</w:t>
      </w:r>
      <w:r w:rsidR="007C4628" w:rsidRPr="005B06AD">
        <w:rPr>
          <w:lang w:val="it-IT"/>
        </w:rPr>
        <w:t>a sei indicatori climatici tra cui record di temperatura globale, livelli di CO</w:t>
      </w:r>
      <w:r w:rsidR="007C4628" w:rsidRPr="005B06AD">
        <w:rPr>
          <w:vertAlign w:val="subscript"/>
          <w:lang w:val="it-IT"/>
        </w:rPr>
        <w:t>2</w:t>
      </w:r>
      <w:r w:rsidR="007C4628" w:rsidRPr="005B06AD">
        <w:rPr>
          <w:lang w:val="it-IT"/>
        </w:rPr>
        <w:t>, livelli di metano (CH</w:t>
      </w:r>
      <w:r w:rsidR="007C4628" w:rsidRPr="005B06AD">
        <w:rPr>
          <w:vertAlign w:val="subscript"/>
          <w:lang w:val="it-IT"/>
        </w:rPr>
        <w:t>4</w:t>
      </w:r>
      <w:r w:rsidR="007C4628" w:rsidRPr="005B06AD">
        <w:rPr>
          <w:lang w:val="it-IT"/>
        </w:rPr>
        <w:t>), livelli di protossido di azoto (N</w:t>
      </w:r>
      <w:r w:rsidR="007C4628" w:rsidRPr="005B06AD">
        <w:rPr>
          <w:vertAlign w:val="subscript"/>
          <w:lang w:val="it-IT"/>
        </w:rPr>
        <w:t>2</w:t>
      </w:r>
      <w:r w:rsidR="007C4628" w:rsidRPr="005B06AD">
        <w:rPr>
          <w:lang w:val="it-IT"/>
        </w:rPr>
        <w:t>O), livelli di ossigeno (O</w:t>
      </w:r>
      <w:r w:rsidR="007C4628" w:rsidRPr="005B06AD">
        <w:rPr>
          <w:vertAlign w:val="subscript"/>
          <w:lang w:val="it-IT"/>
        </w:rPr>
        <w:t>2</w:t>
      </w:r>
      <w:r w:rsidR="007C4628" w:rsidRPr="005B06AD">
        <w:rPr>
          <w:lang w:val="it-IT"/>
        </w:rPr>
        <w:t>) e livelli globali del mare</w:t>
      </w:r>
      <w:r w:rsidRPr="005B06AD">
        <w:rPr>
          <w:lang w:val="it-IT"/>
        </w:rPr>
        <w:t>.</w:t>
      </w:r>
      <w:r w:rsidRPr="005B06AD">
        <w:rPr>
          <w:u w:val="single" w:color="000000"/>
          <w:lang w:val="it-IT"/>
        </w:rPr>
        <w:t xml:space="preserve"> </w:t>
      </w:r>
      <w:hyperlink r:id="rId12">
        <w:r w:rsidRPr="005B06AD">
          <w:rPr>
            <w:u w:val="single" w:color="000000"/>
            <w:lang w:val="it-IT"/>
          </w:rPr>
          <w:t>https://www.2degreesinstitute.org/</w:t>
        </w:r>
      </w:hyperlink>
    </w:p>
    <w:p w14:paraId="4962D138" w14:textId="77777777" w:rsidR="002E0F7F" w:rsidRPr="005B06AD" w:rsidRDefault="0079706B" w:rsidP="00F767EA">
      <w:pPr>
        <w:pStyle w:val="Corpotesto"/>
        <w:spacing w:before="90"/>
        <w:jc w:val="both"/>
      </w:pPr>
      <w:r w:rsidRPr="005B06AD">
        <w:rPr>
          <w:u w:val="single"/>
          <w:lang w:val="it-IT"/>
        </w:rPr>
        <w:t>IPCC 1.5C Report</w:t>
      </w:r>
      <w:r w:rsidRPr="005B06AD">
        <w:rPr>
          <w:lang w:val="it-IT"/>
        </w:rPr>
        <w:t>- u</w:t>
      </w:r>
      <w:r w:rsidR="007C4628" w:rsidRPr="005B06AD">
        <w:rPr>
          <w:lang w:val="it-IT"/>
        </w:rPr>
        <w:t xml:space="preserve">tilizza l’indice di riscaldamento </w:t>
      </w:r>
      <w:r w:rsidRPr="005B06AD">
        <w:rPr>
          <w:lang w:val="it-IT"/>
        </w:rPr>
        <w:t>global</w:t>
      </w:r>
      <w:r w:rsidR="007C4628" w:rsidRPr="005B06AD">
        <w:rPr>
          <w:lang w:val="it-IT"/>
        </w:rPr>
        <w:t>e</w:t>
      </w:r>
      <w:r w:rsidRPr="005B06AD">
        <w:rPr>
          <w:lang w:val="it-IT"/>
        </w:rPr>
        <w:t xml:space="preserve">. </w:t>
      </w:r>
      <w:hyperlink r:id="rId13">
        <w:r w:rsidRPr="005B06AD">
          <w:rPr>
            <w:u w:val="single" w:color="000000"/>
          </w:rPr>
          <w:t>https://report.ipcc.ch/sr15/pdf/sr15_spm_final.pdf</w:t>
        </w:r>
      </w:hyperlink>
    </w:p>
    <w:p w14:paraId="6F011A9F" w14:textId="77777777" w:rsidR="002E0F7F" w:rsidRPr="005B06AD" w:rsidRDefault="002E0F7F" w:rsidP="00F767EA">
      <w:pPr>
        <w:pStyle w:val="Corpotesto"/>
        <w:spacing w:before="1"/>
        <w:ind w:left="0"/>
        <w:jc w:val="both"/>
        <w:rPr>
          <w:sz w:val="26"/>
        </w:rPr>
      </w:pPr>
    </w:p>
    <w:p w14:paraId="18673854" w14:textId="77777777" w:rsidR="002E0F7F" w:rsidRPr="005B06AD" w:rsidRDefault="0079706B" w:rsidP="00F767EA">
      <w:pPr>
        <w:pStyle w:val="Titolo2"/>
        <w:spacing w:before="90"/>
        <w:jc w:val="both"/>
      </w:pPr>
      <w:bookmarkStart w:id="2" w:name="_TOC_250001"/>
      <w:bookmarkEnd w:id="2"/>
      <w:proofErr w:type="spellStart"/>
      <w:r w:rsidRPr="005B06AD">
        <w:t>Metod</w:t>
      </w:r>
      <w:r w:rsidR="007C4628" w:rsidRPr="005B06AD">
        <w:t>i</w:t>
      </w:r>
      <w:proofErr w:type="spellEnd"/>
    </w:p>
    <w:p w14:paraId="4AE8BE04" w14:textId="2E58F6FE" w:rsidR="00717FBF" w:rsidRPr="005B06AD" w:rsidRDefault="00717FBF" w:rsidP="00F767EA">
      <w:pPr>
        <w:pStyle w:val="Corpotesto"/>
        <w:spacing w:line="259" w:lineRule="auto"/>
        <w:ind w:right="145"/>
        <w:jc w:val="both"/>
        <w:rPr>
          <w:lang w:val="it-IT"/>
        </w:rPr>
      </w:pPr>
      <w:r w:rsidRPr="005B06AD">
        <w:rPr>
          <w:lang w:val="it-IT"/>
        </w:rPr>
        <w:t xml:space="preserve">Abbiamo compilato un elenco di serie temporali globali relative alle azioni umane che incidono sull'ambiente (ad esempio il consumo di combustibili fossili) e alle risposte ambientali e climatiche (ad esempio il cambiamento di temperatura). Descrizioni e fonti per ciascuna variabile sono fornite nella sezione successiva. Sebbene i dati utilizzati provengano da fonti ritenute affidabili, nessuna valutazione formale dell'accuratezza per questi set di dati è stata effettuata da noi e gli utenti devono </w:t>
      </w:r>
      <w:r w:rsidR="00E43709" w:rsidRPr="005B06AD">
        <w:rPr>
          <w:lang w:val="it-IT"/>
        </w:rPr>
        <w:t>utilizzarli</w:t>
      </w:r>
      <w:r w:rsidRPr="005B06AD">
        <w:rPr>
          <w:lang w:val="it-IT"/>
        </w:rPr>
        <w:t xml:space="preserve"> con cautela. Abbiamo preso in considerazione come indicatori solo variabili che vengono </w:t>
      </w:r>
      <w:r w:rsidR="00E43709" w:rsidRPr="005B06AD">
        <w:rPr>
          <w:lang w:val="it-IT"/>
        </w:rPr>
        <w:t>misurate</w:t>
      </w:r>
      <w:r w:rsidRPr="005B06AD">
        <w:rPr>
          <w:lang w:val="it-IT"/>
        </w:rPr>
        <w:t xml:space="preserve"> almeno ogni anno. Abbiamo convertito ciascuna variabile in formato annuale calcolando la media delle osservazioni all'interno di ogni anno solare se necessario, escludendo i dati del primo e dell'ultimo anno quando incompleti (primo anno incompleto: acidità oceanica, massa di ghiaccio della Groenlandia e Antartide; ultimo anno incompleto: protossido di azoto, massa di ghiaccio di Groenlandia ed Antartide). Per ogni variabile, abbiamo rimosso gli anni precedenti al 1979. Abbiamo quindi calcolato </w:t>
      </w:r>
      <w:r w:rsidR="00E43709" w:rsidRPr="005B06AD">
        <w:rPr>
          <w:lang w:val="it-IT"/>
        </w:rPr>
        <w:t>le c</w:t>
      </w:r>
      <w:r w:rsidR="005615FE" w:rsidRPr="005B06AD">
        <w:rPr>
          <w:lang w:val="it-IT"/>
        </w:rPr>
        <w:t>u</w:t>
      </w:r>
      <w:r w:rsidR="00E43709" w:rsidRPr="005B06AD">
        <w:rPr>
          <w:lang w:val="it-IT"/>
        </w:rPr>
        <w:t>rve</w:t>
      </w:r>
      <w:r w:rsidRPr="005B06AD">
        <w:rPr>
          <w:lang w:val="it-IT"/>
        </w:rPr>
        <w:t xml:space="preserve"> di tendenza utilizzando </w:t>
      </w:r>
      <w:r w:rsidR="00E43709" w:rsidRPr="005B06AD">
        <w:rPr>
          <w:lang w:val="it-IT"/>
        </w:rPr>
        <w:t>degli interpolatori del grafico a</w:t>
      </w:r>
      <w:r w:rsidRPr="005B06AD">
        <w:rPr>
          <w:lang w:val="it-IT"/>
        </w:rPr>
        <w:t xml:space="preserve"> dispersione stimat</w:t>
      </w:r>
      <w:r w:rsidR="00E43709" w:rsidRPr="005B06AD">
        <w:rPr>
          <w:lang w:val="it-IT"/>
        </w:rPr>
        <w:t>i</w:t>
      </w:r>
      <w:r w:rsidRPr="005B06AD">
        <w:rPr>
          <w:lang w:val="it-IT"/>
        </w:rPr>
        <w:t xml:space="preserve"> localmente. </w:t>
      </w:r>
      <w:r w:rsidR="00E43709" w:rsidRPr="005B06AD">
        <w:rPr>
          <w:lang w:val="it-IT"/>
        </w:rPr>
        <w:t>Abbiamo tracciato</w:t>
      </w:r>
      <w:r w:rsidRPr="005B06AD">
        <w:rPr>
          <w:lang w:val="it-IT"/>
        </w:rPr>
        <w:t xml:space="preserve"> le linee di tendenza in R </w:t>
      </w:r>
      <w:r w:rsidR="00E43709" w:rsidRPr="005B06AD">
        <w:rPr>
          <w:lang w:val="it-IT"/>
        </w:rPr>
        <w:t xml:space="preserve">(R Core Team 2018) </w:t>
      </w:r>
      <w:r w:rsidRPr="005B06AD">
        <w:rPr>
          <w:lang w:val="it-IT"/>
        </w:rPr>
        <w:t>utilizzando la</w:t>
      </w:r>
      <w:r w:rsidR="00E43709" w:rsidRPr="005B06AD">
        <w:rPr>
          <w:lang w:val="it-IT"/>
        </w:rPr>
        <w:t xml:space="preserve"> funzione</w:t>
      </w:r>
      <w:r w:rsidRPr="005B06AD">
        <w:rPr>
          <w:lang w:val="it-IT"/>
        </w:rPr>
        <w:t xml:space="preserve"> “loess</w:t>
      </w:r>
      <w:r w:rsidR="00E43709" w:rsidRPr="005B06AD">
        <w:rPr>
          <w:lang w:val="it-IT"/>
        </w:rPr>
        <w:t>”</w:t>
      </w:r>
      <w:r w:rsidRPr="005B06AD">
        <w:rPr>
          <w:lang w:val="it-IT"/>
        </w:rPr>
        <w:t xml:space="preserve"> con le impostazioni predefinite (grado 2, intervallo 0,75) </w:t>
      </w:r>
    </w:p>
    <w:p w14:paraId="5DCE6E93" w14:textId="37037B52" w:rsidR="002E0F7F" w:rsidRPr="005B06AD" w:rsidRDefault="00717FBF" w:rsidP="00F767EA">
      <w:pPr>
        <w:pStyle w:val="Corpotesto"/>
        <w:spacing w:line="259" w:lineRule="auto"/>
        <w:ind w:right="145"/>
        <w:jc w:val="both"/>
        <w:rPr>
          <w:lang w:val="it-IT"/>
        </w:rPr>
      </w:pPr>
      <w:r w:rsidRPr="005B06AD">
        <w:rPr>
          <w:lang w:val="it-IT"/>
        </w:rPr>
        <w:t xml:space="preserve">Abbiamo utilizzato le linee di tendenza per calcolare il </w:t>
      </w:r>
      <w:r w:rsidR="00D0010D" w:rsidRPr="005B06AD">
        <w:rPr>
          <w:lang w:val="it-IT"/>
        </w:rPr>
        <w:t>tasso</w:t>
      </w:r>
      <w:r w:rsidRPr="005B06AD">
        <w:rPr>
          <w:lang w:val="it-IT"/>
        </w:rPr>
        <w:t xml:space="preserve"> di variazione di ciascuna variabile. Per le variabili </w:t>
      </w:r>
      <w:r w:rsidR="00D0010D" w:rsidRPr="005B06AD">
        <w:rPr>
          <w:lang w:val="it-IT"/>
        </w:rPr>
        <w:t>a</w:t>
      </w:r>
      <w:r w:rsidRPr="005B06AD">
        <w:rPr>
          <w:lang w:val="it-IT"/>
        </w:rPr>
        <w:t xml:space="preserve"> rapport</w:t>
      </w:r>
      <w:r w:rsidR="00D0010D" w:rsidRPr="005B06AD">
        <w:rPr>
          <w:lang w:val="it-IT"/>
        </w:rPr>
        <w:t>i</w:t>
      </w:r>
      <w:r w:rsidRPr="005B06AD">
        <w:rPr>
          <w:lang w:val="it-IT"/>
        </w:rPr>
        <w:t xml:space="preserve"> (cioè quelle con un</w:t>
      </w:r>
      <w:r w:rsidR="00D0010D" w:rsidRPr="005B06AD">
        <w:rPr>
          <w:lang w:val="it-IT"/>
        </w:rPr>
        <w:t>o</w:t>
      </w:r>
      <w:r w:rsidRPr="005B06AD">
        <w:rPr>
          <w:lang w:val="it-IT"/>
        </w:rPr>
        <w:t xml:space="preserve"> "zero" </w:t>
      </w:r>
      <w:r w:rsidR="00D0010D" w:rsidRPr="005B06AD">
        <w:rPr>
          <w:lang w:val="it-IT"/>
        </w:rPr>
        <w:t>reale</w:t>
      </w:r>
      <w:r w:rsidRPr="005B06AD">
        <w:rPr>
          <w:lang w:val="it-IT"/>
        </w:rPr>
        <w:t>, come la concentrazione di CO</w:t>
      </w:r>
      <w:r w:rsidRPr="005B06AD">
        <w:rPr>
          <w:vertAlign w:val="subscript"/>
          <w:lang w:val="it-IT"/>
        </w:rPr>
        <w:t>2</w:t>
      </w:r>
      <w:r w:rsidRPr="005B06AD">
        <w:rPr>
          <w:lang w:val="it-IT"/>
        </w:rPr>
        <w:t xml:space="preserve"> atmosferica)</w:t>
      </w:r>
      <w:r w:rsidR="00D0010D" w:rsidRPr="005B06AD">
        <w:rPr>
          <w:lang w:val="it-IT"/>
        </w:rPr>
        <w:t xml:space="preserve"> </w:t>
      </w:r>
      <w:r w:rsidRPr="005B06AD">
        <w:rPr>
          <w:lang w:val="it-IT"/>
        </w:rPr>
        <w:t>abbiamo calcolato la variazione percentuale</w:t>
      </w:r>
      <w:r w:rsidR="00D0010D" w:rsidRPr="005B06AD">
        <w:rPr>
          <w:lang w:val="it-IT"/>
        </w:rPr>
        <w:t xml:space="preserve">, mentre </w:t>
      </w:r>
      <w:r w:rsidRPr="005B06AD">
        <w:rPr>
          <w:lang w:val="it-IT"/>
        </w:rPr>
        <w:t xml:space="preserve">per le variabili </w:t>
      </w:r>
      <w:r w:rsidR="00D0010D" w:rsidRPr="005B06AD">
        <w:rPr>
          <w:lang w:val="it-IT"/>
        </w:rPr>
        <w:t>a</w:t>
      </w:r>
      <w:r w:rsidRPr="005B06AD">
        <w:rPr>
          <w:lang w:val="it-IT"/>
        </w:rPr>
        <w:t xml:space="preserve"> intervall</w:t>
      </w:r>
      <w:r w:rsidR="00D0010D" w:rsidRPr="005B06AD">
        <w:rPr>
          <w:lang w:val="it-IT"/>
        </w:rPr>
        <w:t>i</w:t>
      </w:r>
      <w:r w:rsidRPr="005B06AD">
        <w:rPr>
          <w:lang w:val="it-IT"/>
        </w:rPr>
        <w:t xml:space="preserve"> (che possono essere </w:t>
      </w:r>
      <w:r w:rsidR="00D0010D" w:rsidRPr="005B06AD">
        <w:rPr>
          <w:lang w:val="it-IT"/>
        </w:rPr>
        <w:t>traslocate</w:t>
      </w:r>
      <w:r w:rsidRPr="005B06AD">
        <w:rPr>
          <w:lang w:val="it-IT"/>
        </w:rPr>
        <w:t xml:space="preserve"> </w:t>
      </w:r>
      <w:r w:rsidR="00D0010D" w:rsidRPr="005B06AD">
        <w:rPr>
          <w:lang w:val="it-IT"/>
        </w:rPr>
        <w:t>verso l’altro o verso il basso</w:t>
      </w:r>
      <w:r w:rsidRPr="005B06AD">
        <w:rPr>
          <w:lang w:val="it-IT"/>
        </w:rPr>
        <w:t xml:space="preserve"> arbitrariamente, come il livello del mare) abbiamo calcolato la variazione additiva. Per le variabili </w:t>
      </w:r>
      <w:r w:rsidR="00D0010D" w:rsidRPr="005B06AD">
        <w:rPr>
          <w:lang w:val="it-IT"/>
        </w:rPr>
        <w:t>a</w:t>
      </w:r>
      <w:r w:rsidRPr="005B06AD">
        <w:rPr>
          <w:lang w:val="it-IT"/>
        </w:rPr>
        <w:t xml:space="preserve"> rapport</w:t>
      </w:r>
      <w:r w:rsidR="00D0010D" w:rsidRPr="005B06AD">
        <w:rPr>
          <w:lang w:val="it-IT"/>
        </w:rPr>
        <w:t>i</w:t>
      </w:r>
      <w:r w:rsidRPr="005B06AD">
        <w:rPr>
          <w:lang w:val="it-IT"/>
        </w:rPr>
        <w:t xml:space="preserve"> abbiamo utilizzato la seguente formula per </w:t>
      </w:r>
      <w:r w:rsidR="00D0010D" w:rsidRPr="005B06AD">
        <w:rPr>
          <w:lang w:val="it-IT"/>
        </w:rPr>
        <w:t xml:space="preserve">calcolare </w:t>
      </w:r>
      <w:r w:rsidRPr="005B06AD">
        <w:rPr>
          <w:lang w:val="it-IT"/>
        </w:rPr>
        <w:t xml:space="preserve">la variazione percentuale </w:t>
      </w:r>
      <w:r w:rsidR="00D0010D" w:rsidRPr="005B06AD">
        <w:rPr>
          <w:lang w:val="it-IT"/>
        </w:rPr>
        <w:t>su</w:t>
      </w:r>
      <w:r w:rsidRPr="005B06AD">
        <w:rPr>
          <w:lang w:val="it-IT"/>
        </w:rPr>
        <w:t xml:space="preserve"> 10 anni</w:t>
      </w:r>
      <w:r w:rsidR="0079706B" w:rsidRPr="005B06AD">
        <w:rPr>
          <w:lang w:val="it-IT"/>
        </w:rPr>
        <w:t>:</w:t>
      </w:r>
    </w:p>
    <w:p w14:paraId="5374F669" w14:textId="6B54D0C1" w:rsidR="002E0F7F" w:rsidRPr="005B06AD" w:rsidRDefault="00F767EA" w:rsidP="006F509C">
      <w:pPr>
        <w:tabs>
          <w:tab w:val="left" w:pos="7029"/>
        </w:tabs>
        <w:spacing w:before="163"/>
        <w:jc w:val="center"/>
        <w:rPr>
          <w:rFonts w:ascii="Cambria Math"/>
        </w:rPr>
      </w:pPr>
      <w:r w:rsidRPr="005B06AD">
        <w:rPr>
          <w:noProof/>
          <w:lang w:val="it-IT" w:eastAsia="ko-KR" w:bidi="ar-SA"/>
        </w:rPr>
        <mc:AlternateContent>
          <mc:Choice Requires="wps">
            <w:drawing>
              <wp:anchor distT="0" distB="0" distL="114300" distR="114300" simplePos="0" relativeHeight="250294272" behindDoc="1" locked="0" layoutInCell="1" allowOverlap="1" wp14:anchorId="51DCCD82" wp14:editId="173BC72D">
                <wp:simplePos x="0" y="0"/>
                <wp:positionH relativeFrom="page">
                  <wp:posOffset>3815080</wp:posOffset>
                </wp:positionH>
                <wp:positionV relativeFrom="paragraph">
                  <wp:posOffset>195580</wp:posOffset>
                </wp:positionV>
                <wp:extent cx="337820" cy="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820" cy="0"/>
                        </a:xfrm>
                        <a:prstGeom prst="line">
                          <a:avLst/>
                        </a:prstGeom>
                        <a:noFill/>
                        <a:ln w="9144">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C912A" id="Line 3" o:spid="_x0000_s1026" style="position:absolute;z-index:-25302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0.4pt,15.4pt" to="32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" strokeweight=".72pt">
                <w10:wrap anchorx="page"/>
              </v:line>
            </w:pict>
          </mc:Fallback>
        </mc:AlternateContent>
      </w:r>
      <w:r w:rsidR="006F509C" w:rsidRPr="005B06AD">
        <w:rPr>
          <w:noProof/>
          <w:lang w:val="it-IT" w:eastAsia="ko-KR" w:bidi="ar-SA"/>
        </w:rPr>
        <w:drawing>
          <wp:inline distT="0" distB="0" distL="0" distR="0" wp14:anchorId="41B48063" wp14:editId="44AE33B3">
            <wp:extent cx="2523809" cy="552381"/>
            <wp:effectExtent l="0" t="0" r="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23809" cy="552381"/>
                    </a:xfrm>
                    <a:prstGeom prst="rect">
                      <a:avLst/>
                    </a:prstGeom>
                  </pic:spPr>
                </pic:pic>
              </a:graphicData>
            </a:graphic>
          </wp:inline>
        </w:drawing>
      </w:r>
    </w:p>
    <w:p w14:paraId="491E0165" w14:textId="6462118E" w:rsidR="006F509C" w:rsidRPr="005B06AD" w:rsidRDefault="006F509C" w:rsidP="00F767EA">
      <w:pPr>
        <w:pStyle w:val="Corpotesto"/>
        <w:spacing w:before="91" w:line="268" w:lineRule="auto"/>
        <w:ind w:right="133"/>
        <w:jc w:val="both"/>
        <w:rPr>
          <w:lang w:val="it-IT"/>
        </w:rPr>
      </w:pPr>
      <w:r w:rsidRPr="005B06AD">
        <w:rPr>
          <w:lang w:val="it-IT"/>
        </w:rPr>
        <w:t xml:space="preserve">dove </w:t>
      </w:r>
      <w:proofErr w:type="spellStart"/>
      <w:r w:rsidRPr="005B06AD">
        <w:rPr>
          <w:i/>
          <w:lang w:val="it-IT"/>
        </w:rPr>
        <w:t>y</w:t>
      </w:r>
      <w:r w:rsidRPr="005B06AD">
        <w:rPr>
          <w:i/>
          <w:vertAlign w:val="subscript"/>
          <w:lang w:val="it-IT"/>
        </w:rPr>
        <w:t>start</w:t>
      </w:r>
      <w:proofErr w:type="spellEnd"/>
      <w:r w:rsidRPr="005B06AD">
        <w:rPr>
          <w:lang w:val="it-IT"/>
        </w:rPr>
        <w:t xml:space="preserve"> e </w:t>
      </w:r>
      <w:proofErr w:type="spellStart"/>
      <w:r w:rsidRPr="005B06AD">
        <w:rPr>
          <w:i/>
          <w:lang w:val="it-IT"/>
        </w:rPr>
        <w:t>y</w:t>
      </w:r>
      <w:r w:rsidRPr="005B06AD">
        <w:rPr>
          <w:i/>
          <w:vertAlign w:val="subscript"/>
          <w:lang w:val="it-IT"/>
        </w:rPr>
        <w:t>end</w:t>
      </w:r>
      <w:proofErr w:type="spellEnd"/>
      <w:r w:rsidRPr="005B06AD">
        <w:rPr>
          <w:lang w:val="it-IT"/>
        </w:rPr>
        <w:t xml:space="preserve"> sono i valori di inizio e fine della linea di tendenza e </w:t>
      </w:r>
      <w:proofErr w:type="spellStart"/>
      <w:r w:rsidRPr="005B06AD">
        <w:rPr>
          <w:i/>
          <w:lang w:val="it-IT"/>
        </w:rPr>
        <w:t>t</w:t>
      </w:r>
      <w:r w:rsidRPr="005B06AD">
        <w:rPr>
          <w:i/>
          <w:vertAlign w:val="subscript"/>
          <w:lang w:val="it-IT"/>
        </w:rPr>
        <w:t>start</w:t>
      </w:r>
      <w:proofErr w:type="spellEnd"/>
      <w:r w:rsidRPr="005B06AD">
        <w:rPr>
          <w:lang w:val="it-IT"/>
        </w:rPr>
        <w:t xml:space="preserve"> e </w:t>
      </w:r>
      <w:proofErr w:type="spellStart"/>
      <w:r w:rsidRPr="005B06AD">
        <w:rPr>
          <w:i/>
          <w:lang w:val="it-IT"/>
        </w:rPr>
        <w:t>t</w:t>
      </w:r>
      <w:r w:rsidRPr="005B06AD">
        <w:rPr>
          <w:i/>
          <w:vertAlign w:val="subscript"/>
          <w:lang w:val="it-IT"/>
        </w:rPr>
        <w:t>end</w:t>
      </w:r>
      <w:proofErr w:type="spellEnd"/>
      <w:r w:rsidRPr="005B06AD">
        <w:rPr>
          <w:lang w:val="it-IT"/>
        </w:rPr>
        <w:t xml:space="preserve"> sono gli anni di inizio e fine. Questa è la variazione percentuale su 10 anni con un intervallo decennale. Ad esempio, una variabile che è aumentata ad un </w:t>
      </w:r>
      <w:r w:rsidR="00D0010D" w:rsidRPr="005B06AD">
        <w:rPr>
          <w:lang w:val="it-IT"/>
        </w:rPr>
        <w:t>tasso</w:t>
      </w:r>
      <w:r w:rsidRPr="005B06AD">
        <w:rPr>
          <w:lang w:val="it-IT"/>
        </w:rPr>
        <w:t xml:space="preserve"> del 15% per decennio per l'intero arco di tempo avrebbe un valore del 15% secondo questa formula. Per l'acidità dell'oceano (pH, abbiamo calcolato la variazione percentuale in termini di attività degli ioni idrogeno (</w:t>
      </w:r>
      <w:proofErr w:type="spellStart"/>
      <w:r w:rsidRPr="005B06AD">
        <w:rPr>
          <w:lang w:val="it-IT"/>
        </w:rPr>
        <w:t>a</w:t>
      </w:r>
      <w:r w:rsidRPr="005B06AD">
        <w:rPr>
          <w:vertAlign w:val="subscript"/>
          <w:lang w:val="it-IT"/>
        </w:rPr>
        <w:t>H</w:t>
      </w:r>
      <w:proofErr w:type="spellEnd"/>
      <w:r w:rsidRPr="005B06AD">
        <w:rPr>
          <w:vertAlign w:val="subscript"/>
          <w:lang w:val="it-IT"/>
        </w:rPr>
        <w:t>+</w:t>
      </w:r>
      <w:r w:rsidRPr="005B06AD">
        <w:rPr>
          <w:lang w:val="it-IT"/>
        </w:rPr>
        <w:t xml:space="preserve">) (valori di pH più bassi rappresentano una maggiore acidità). Per le variabili </w:t>
      </w:r>
      <w:r w:rsidR="00D0010D" w:rsidRPr="005B06AD">
        <w:rPr>
          <w:lang w:val="it-IT"/>
        </w:rPr>
        <w:t>a</w:t>
      </w:r>
      <w:r w:rsidRPr="005B06AD">
        <w:rPr>
          <w:lang w:val="it-IT"/>
        </w:rPr>
        <w:t xml:space="preserve"> intervall</w:t>
      </w:r>
      <w:r w:rsidR="00D0010D" w:rsidRPr="005B06AD">
        <w:rPr>
          <w:lang w:val="it-IT"/>
        </w:rPr>
        <w:t>i</w:t>
      </w:r>
      <w:r w:rsidRPr="005B06AD">
        <w:rPr>
          <w:lang w:val="it-IT"/>
        </w:rPr>
        <w:t>, abbiamo usato la formula:</w:t>
      </w:r>
    </w:p>
    <w:p w14:paraId="1F286512" w14:textId="77777777" w:rsidR="006F509C" w:rsidRPr="005B06AD" w:rsidRDefault="006F509C" w:rsidP="006F509C">
      <w:pPr>
        <w:pStyle w:val="Corpotesto"/>
        <w:spacing w:before="91" w:line="268" w:lineRule="auto"/>
        <w:ind w:right="133"/>
        <w:jc w:val="center"/>
        <w:rPr>
          <w:lang w:val="it-IT"/>
        </w:rPr>
      </w:pPr>
      <w:r w:rsidRPr="005B06AD">
        <w:rPr>
          <w:noProof/>
          <w:lang w:val="it-IT" w:eastAsia="ko-KR" w:bidi="ar-SA"/>
        </w:rPr>
        <w:lastRenderedPageBreak/>
        <w:drawing>
          <wp:inline distT="0" distB="0" distL="0" distR="0" wp14:anchorId="58773907" wp14:editId="70D3B41B">
            <wp:extent cx="1838095" cy="380952"/>
            <wp:effectExtent l="0" t="0" r="0" b="63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38095" cy="380952"/>
                    </a:xfrm>
                    <a:prstGeom prst="rect">
                      <a:avLst/>
                    </a:prstGeom>
                  </pic:spPr>
                </pic:pic>
              </a:graphicData>
            </a:graphic>
          </wp:inline>
        </w:drawing>
      </w:r>
    </w:p>
    <w:p w14:paraId="6BBA3429" w14:textId="083BC42E" w:rsidR="002E0F7F" w:rsidRPr="005B06AD" w:rsidRDefault="00F767EA">
      <w:pPr>
        <w:pStyle w:val="Corpotesto"/>
        <w:spacing w:before="8"/>
        <w:ind w:left="0"/>
        <w:rPr>
          <w:sz w:val="18"/>
          <w:lang w:val="it-IT"/>
        </w:rPr>
      </w:pPr>
      <w:r w:rsidRPr="005B06AD">
        <w:rPr>
          <w:noProof/>
          <w:lang w:val="it-IT" w:eastAsia="ko-KR" w:bidi="ar-SA"/>
        </w:rPr>
        <mc:AlternateContent>
          <mc:Choice Requires="wps">
            <w:drawing>
              <wp:anchor distT="0" distB="0" distL="0" distR="0" simplePos="0" relativeHeight="251658240" behindDoc="1" locked="0" layoutInCell="1" allowOverlap="1" wp14:anchorId="04B1659A" wp14:editId="66528EC3">
                <wp:simplePos x="0" y="0"/>
                <wp:positionH relativeFrom="page">
                  <wp:posOffset>3952875</wp:posOffset>
                </wp:positionH>
                <wp:positionV relativeFrom="paragraph">
                  <wp:posOffset>166370</wp:posOffset>
                </wp:positionV>
                <wp:extent cx="782955" cy="0"/>
                <wp:effectExtent l="0" t="0" r="0" b="0"/>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955" cy="0"/>
                        </a:xfrm>
                        <a:prstGeom prst="line">
                          <a:avLst/>
                        </a:prstGeom>
                        <a:noFill/>
                        <a:ln w="9144">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57C9C"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1.25pt,13.1pt" to="372.9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" strokeweight=".72pt">
                <w10:wrap type="topAndBottom" anchorx="page"/>
              </v:line>
            </w:pict>
          </mc:Fallback>
        </mc:AlternateContent>
      </w:r>
    </w:p>
    <w:p w14:paraId="616FF3D1" w14:textId="77777777" w:rsidR="002E0F7F" w:rsidRPr="005B06AD" w:rsidRDefault="002E0F7F">
      <w:pPr>
        <w:rPr>
          <w:sz w:val="18"/>
          <w:lang w:val="it-IT"/>
        </w:rPr>
        <w:sectPr w:rsidR="002E0F7F" w:rsidRPr="005B06AD">
          <w:pgSz w:w="12240" w:h="15840"/>
          <w:pgMar w:top="1080" w:right="1040" w:bottom="940" w:left="880" w:header="0" w:footer="744" w:gutter="0"/>
          <w:cols w:space="720"/>
        </w:sectPr>
      </w:pPr>
    </w:p>
    <w:p w14:paraId="1EE97A8F" w14:textId="194493DA" w:rsidR="002E0F7F" w:rsidRPr="005B06AD" w:rsidRDefault="005B5797" w:rsidP="00F767EA">
      <w:pPr>
        <w:pStyle w:val="Titolo1"/>
        <w:spacing w:line="259" w:lineRule="auto"/>
        <w:ind w:right="396"/>
        <w:jc w:val="both"/>
        <w:rPr>
          <w:lang w:val="it-IT"/>
        </w:rPr>
      </w:pPr>
      <w:r w:rsidRPr="005B06AD">
        <w:rPr>
          <w:lang w:val="it-IT"/>
        </w:rPr>
        <w:lastRenderedPageBreak/>
        <w:t xml:space="preserve">Indicatori di attività umane che possono influire sulle emissioni di </w:t>
      </w:r>
      <w:r w:rsidR="00A24FA7" w:rsidRPr="005B06AD">
        <w:rPr>
          <w:lang w:val="it-IT"/>
        </w:rPr>
        <w:t>gas serra</w:t>
      </w:r>
      <w:r w:rsidRPr="005B06AD">
        <w:rPr>
          <w:lang w:val="it-IT"/>
        </w:rPr>
        <w:t xml:space="preserve"> o sui cambiamenti climatici </w:t>
      </w:r>
      <w:r w:rsidR="0079706B" w:rsidRPr="005B06AD">
        <w:rPr>
          <w:lang w:val="it-IT"/>
        </w:rPr>
        <w:t>(Figura 1)</w:t>
      </w:r>
    </w:p>
    <w:p w14:paraId="7E0F8D6C" w14:textId="77777777" w:rsidR="00D84998" w:rsidRPr="005B06AD" w:rsidRDefault="00D84998" w:rsidP="00F767EA">
      <w:pPr>
        <w:pStyle w:val="Corpotesto"/>
        <w:spacing w:line="259" w:lineRule="auto"/>
        <w:ind w:right="135"/>
        <w:jc w:val="both"/>
        <w:rPr>
          <w:lang w:val="it-IT"/>
        </w:rPr>
      </w:pPr>
      <w:r w:rsidRPr="005B06AD">
        <w:rPr>
          <w:lang w:val="it-IT"/>
        </w:rPr>
        <w:t xml:space="preserve">Di seguito, elenchiamo le fonti e forniamo brevi descrizioni degli indicatori </w:t>
      </w:r>
      <w:r w:rsidR="00166A96" w:rsidRPr="005B06AD">
        <w:rPr>
          <w:lang w:val="it-IT"/>
        </w:rPr>
        <w:t xml:space="preserve">usati </w:t>
      </w:r>
      <w:r w:rsidRPr="005B06AD">
        <w:rPr>
          <w:lang w:val="it-IT"/>
        </w:rPr>
        <w:t>nella nostra analisi. I metodi completi per ciascun indicatore sono disponibili presso le fonti fornite.</w:t>
      </w:r>
    </w:p>
    <w:p w14:paraId="35B16165" w14:textId="77777777" w:rsidR="00D84998" w:rsidRPr="005B06AD" w:rsidRDefault="00D84998" w:rsidP="00F767EA">
      <w:pPr>
        <w:pStyle w:val="Corpotesto"/>
        <w:spacing w:line="259" w:lineRule="auto"/>
        <w:ind w:right="135"/>
        <w:jc w:val="both"/>
        <w:rPr>
          <w:lang w:val="it-IT"/>
        </w:rPr>
      </w:pPr>
    </w:p>
    <w:p w14:paraId="70F22E97" w14:textId="77777777" w:rsidR="00D84998" w:rsidRPr="005B06AD" w:rsidRDefault="00D84998" w:rsidP="00F767EA">
      <w:pPr>
        <w:pStyle w:val="Corpotesto"/>
        <w:spacing w:line="259" w:lineRule="auto"/>
        <w:ind w:right="135"/>
        <w:jc w:val="both"/>
        <w:rPr>
          <w:u w:val="single"/>
          <w:lang w:val="it-IT"/>
        </w:rPr>
      </w:pPr>
      <w:r w:rsidRPr="005B06AD">
        <w:rPr>
          <w:u w:val="single"/>
          <w:lang w:val="it-IT"/>
        </w:rPr>
        <w:t>Popolazione umana (Figura 1a)</w:t>
      </w:r>
    </w:p>
    <w:p w14:paraId="15F23AF6" w14:textId="76E8CAC3" w:rsidR="00D84998" w:rsidRPr="005B06AD" w:rsidRDefault="00D84998" w:rsidP="00F767EA">
      <w:pPr>
        <w:pStyle w:val="Corpotesto"/>
        <w:spacing w:line="259" w:lineRule="auto"/>
        <w:ind w:right="135"/>
        <w:jc w:val="both"/>
        <w:rPr>
          <w:lang w:val="it-IT"/>
        </w:rPr>
      </w:pPr>
      <w:r w:rsidRPr="005B06AD">
        <w:rPr>
          <w:lang w:val="it-IT"/>
        </w:rPr>
        <w:t>Abbiamo utilizzato il Database statistico dell'Organizzazione per l'alimentazione e l'agricoltura (FAOSTAT) come fonte di dati sulla popolazione umana (FAOSTAT 2019). Per le stime della popolazione umana, i dati di fonte utilizzati da FAOSTAT provengono da</w:t>
      </w:r>
      <w:r w:rsidR="00166A96" w:rsidRPr="005B06AD">
        <w:rPr>
          <w:lang w:val="it-IT"/>
        </w:rPr>
        <w:t>i</w:t>
      </w:r>
      <w:r w:rsidRPr="005B06AD">
        <w:rPr>
          <w:lang w:val="it-IT"/>
        </w:rPr>
        <w:t xml:space="preserve"> censimenti della popolazione nazionale.</w:t>
      </w:r>
    </w:p>
    <w:p w14:paraId="08CCBC9F" w14:textId="77777777" w:rsidR="00D84998" w:rsidRPr="005B06AD" w:rsidRDefault="00D84998" w:rsidP="00F767EA">
      <w:pPr>
        <w:pStyle w:val="Corpotesto"/>
        <w:spacing w:line="259" w:lineRule="auto"/>
        <w:ind w:right="135"/>
        <w:jc w:val="both"/>
        <w:rPr>
          <w:lang w:val="it-IT"/>
        </w:rPr>
      </w:pPr>
    </w:p>
    <w:p w14:paraId="316CDDA7" w14:textId="6609D43C" w:rsidR="00D84998" w:rsidRPr="005B06AD" w:rsidRDefault="00A24FA7" w:rsidP="00F767EA">
      <w:pPr>
        <w:pStyle w:val="Corpotesto"/>
        <w:spacing w:line="259" w:lineRule="auto"/>
        <w:ind w:right="135"/>
        <w:jc w:val="both"/>
        <w:rPr>
          <w:u w:val="single"/>
          <w:lang w:val="it-IT"/>
        </w:rPr>
      </w:pPr>
      <w:r w:rsidRPr="005B06AD">
        <w:rPr>
          <w:u w:val="single"/>
          <w:lang w:val="it-IT"/>
        </w:rPr>
        <w:t>Tasso</w:t>
      </w:r>
      <w:r w:rsidR="00D84998" w:rsidRPr="005B06AD">
        <w:rPr>
          <w:u w:val="single"/>
          <w:lang w:val="it-IT"/>
        </w:rPr>
        <w:t xml:space="preserve"> di </w:t>
      </w:r>
      <w:r w:rsidR="00EE6C09" w:rsidRPr="005B06AD">
        <w:rPr>
          <w:u w:val="single"/>
          <w:lang w:val="it-IT"/>
        </w:rPr>
        <w:t>fertilità</w:t>
      </w:r>
      <w:r w:rsidR="00D84998" w:rsidRPr="005B06AD">
        <w:rPr>
          <w:u w:val="single"/>
          <w:lang w:val="it-IT"/>
        </w:rPr>
        <w:t xml:space="preserve"> (Figura 1b)</w:t>
      </w:r>
    </w:p>
    <w:p w14:paraId="38802ADB" w14:textId="1647F62B" w:rsidR="00D84998" w:rsidRPr="005B06AD" w:rsidRDefault="00D84998" w:rsidP="00F767EA">
      <w:pPr>
        <w:pStyle w:val="Corpotesto"/>
        <w:spacing w:line="259" w:lineRule="auto"/>
        <w:ind w:right="135"/>
        <w:jc w:val="both"/>
        <w:rPr>
          <w:lang w:val="it-IT"/>
        </w:rPr>
      </w:pPr>
      <w:r w:rsidRPr="005B06AD">
        <w:rPr>
          <w:lang w:val="it-IT"/>
        </w:rPr>
        <w:t>Abbiamo ottenuto questa variabile dalla Banca mondiale (The World Bank 2019a). Il nome completo della variabile è</w:t>
      </w:r>
      <w:r w:rsidR="00885F1C" w:rsidRPr="005B06AD">
        <w:rPr>
          <w:lang w:val="it-IT"/>
        </w:rPr>
        <w:t xml:space="preserve"> </w:t>
      </w:r>
      <w:r w:rsidRPr="005B06AD">
        <w:rPr>
          <w:lang w:val="it-IT"/>
        </w:rPr>
        <w:t xml:space="preserve">―Fertilità, totale (nascite per donna) ‖ e l'ID delle variabili della Banca mondiale è SP.DYN.TFRT.IN. Questa variabile è stata derivata utilizzando dati provenienti da più fonti, inclusa la </w:t>
      </w:r>
      <w:proofErr w:type="spellStart"/>
      <w:r w:rsidR="00EE6C09" w:rsidRPr="005B06AD">
        <w:rPr>
          <w:lang w:val="it-IT"/>
        </w:rPr>
        <w:t>Population</w:t>
      </w:r>
      <w:proofErr w:type="spellEnd"/>
      <w:r w:rsidR="00EE6C09" w:rsidRPr="005B06AD">
        <w:rPr>
          <w:lang w:val="it-IT"/>
        </w:rPr>
        <w:t xml:space="preserve"> </w:t>
      </w:r>
      <w:proofErr w:type="spellStart"/>
      <w:r w:rsidR="00EE6C09" w:rsidRPr="005B06AD">
        <w:rPr>
          <w:lang w:val="it-IT"/>
        </w:rPr>
        <w:t>Division</w:t>
      </w:r>
      <w:proofErr w:type="spellEnd"/>
      <w:r w:rsidRPr="005B06AD">
        <w:rPr>
          <w:lang w:val="it-IT"/>
        </w:rPr>
        <w:t xml:space="preserve"> delle Nazioni Unite. L'elenco completo delle fonti originali è disponibile presso The World Bank (2019a). Il </w:t>
      </w:r>
      <w:r w:rsidR="00EE6C09" w:rsidRPr="005B06AD">
        <w:rPr>
          <w:lang w:val="it-IT"/>
        </w:rPr>
        <w:t>tasso</w:t>
      </w:r>
      <w:r w:rsidRPr="005B06AD">
        <w:rPr>
          <w:lang w:val="it-IT"/>
        </w:rPr>
        <w:t xml:space="preserve"> di </w:t>
      </w:r>
      <w:r w:rsidR="00EE6C09" w:rsidRPr="005B06AD">
        <w:rPr>
          <w:lang w:val="it-IT"/>
        </w:rPr>
        <w:t>fertilità</w:t>
      </w:r>
      <w:r w:rsidRPr="005B06AD">
        <w:rPr>
          <w:lang w:val="it-IT"/>
        </w:rPr>
        <w:t xml:space="preserve"> totale è definito come "il numero di bambini che sarebbero nati da una donna se avesse vissuto fino alla fine dei suoi anni fertili e partorisse in base ai tassi di fertilità specifici per età dell'anno specificato" (</w:t>
      </w:r>
      <w:r w:rsidR="00166A96" w:rsidRPr="005B06AD">
        <w:rPr>
          <w:lang w:val="it-IT"/>
        </w:rPr>
        <w:t xml:space="preserve">The World Bank </w:t>
      </w:r>
      <w:r w:rsidRPr="005B06AD">
        <w:rPr>
          <w:lang w:val="it-IT"/>
        </w:rPr>
        <w:t>2019a).</w:t>
      </w:r>
    </w:p>
    <w:p w14:paraId="27F8EF93" w14:textId="77777777" w:rsidR="00D84998" w:rsidRPr="005B06AD" w:rsidRDefault="00D84998" w:rsidP="00F767EA">
      <w:pPr>
        <w:pStyle w:val="Corpotesto"/>
        <w:spacing w:line="259" w:lineRule="auto"/>
        <w:ind w:right="135"/>
        <w:jc w:val="both"/>
        <w:rPr>
          <w:lang w:val="it-IT"/>
        </w:rPr>
      </w:pPr>
    </w:p>
    <w:p w14:paraId="140B8FFB" w14:textId="77777777" w:rsidR="00D84998" w:rsidRPr="005B06AD" w:rsidRDefault="00D84998" w:rsidP="00F767EA">
      <w:pPr>
        <w:pStyle w:val="Corpotesto"/>
        <w:spacing w:line="259" w:lineRule="auto"/>
        <w:ind w:right="135"/>
        <w:jc w:val="both"/>
        <w:rPr>
          <w:u w:val="single"/>
          <w:lang w:val="it-IT"/>
        </w:rPr>
      </w:pPr>
      <w:r w:rsidRPr="005B06AD">
        <w:rPr>
          <w:u w:val="single"/>
          <w:lang w:val="it-IT"/>
        </w:rPr>
        <w:t>Popolazione di ruminanti (Figura 1c)</w:t>
      </w:r>
    </w:p>
    <w:p w14:paraId="1A9F3ECB" w14:textId="72698063" w:rsidR="00D84998" w:rsidRPr="005B06AD" w:rsidRDefault="00D84998" w:rsidP="00F767EA">
      <w:pPr>
        <w:pStyle w:val="Corpotesto"/>
        <w:spacing w:line="259" w:lineRule="auto"/>
        <w:ind w:right="135"/>
        <w:jc w:val="both"/>
        <w:rPr>
          <w:lang w:val="it-IT"/>
        </w:rPr>
      </w:pPr>
      <w:r w:rsidRPr="005B06AD">
        <w:rPr>
          <w:lang w:val="it-IT"/>
        </w:rPr>
        <w:t>Abbiamo utilizzato il Database statistico dell'Organizzazione per l'alimentazione e l'agricoltura (FAOSTAT) come fonte di dati sulla popolazione di animali ruminant</w:t>
      </w:r>
      <w:r w:rsidR="00166A96" w:rsidRPr="005B06AD">
        <w:rPr>
          <w:lang w:val="it-IT"/>
        </w:rPr>
        <w:t>i</w:t>
      </w:r>
      <w:r w:rsidRPr="005B06AD">
        <w:rPr>
          <w:lang w:val="it-IT"/>
        </w:rPr>
        <w:t xml:space="preserve"> (FAOSTAT 2019). Abbiamo considerato i ruminanti membri dei seguenti gruppi: bovini, bufali, ovini e caprini. Per le stime del</w:t>
      </w:r>
      <w:r w:rsidR="000A7734" w:rsidRPr="005B06AD">
        <w:rPr>
          <w:lang w:val="it-IT"/>
        </w:rPr>
        <w:t>l’abbondanza di</w:t>
      </w:r>
      <w:r w:rsidRPr="005B06AD">
        <w:rPr>
          <w:lang w:val="it-IT"/>
        </w:rPr>
        <w:t xml:space="preserve"> bestiame, le fonti di dati primari sono statistiche nazionali ottenute utilizzando questionari o raccolte da siti </w:t>
      </w:r>
      <w:r w:rsidR="000A7734" w:rsidRPr="005B06AD">
        <w:rPr>
          <w:lang w:val="it-IT"/>
        </w:rPr>
        <w:t>w</w:t>
      </w:r>
      <w:r w:rsidRPr="005B06AD">
        <w:rPr>
          <w:lang w:val="it-IT"/>
        </w:rPr>
        <w:t xml:space="preserve">eb o rapporti </w:t>
      </w:r>
      <w:r w:rsidR="000A7734" w:rsidRPr="005B06AD">
        <w:rPr>
          <w:lang w:val="it-IT"/>
        </w:rPr>
        <w:t>nazionali</w:t>
      </w:r>
      <w:r w:rsidRPr="005B06AD">
        <w:rPr>
          <w:lang w:val="it-IT"/>
        </w:rPr>
        <w:t xml:space="preserve">. Quando le statistiche nazionali sul bestiame non erano disponibili, sono state stimate da FAOSTAT usando </w:t>
      </w:r>
      <w:r w:rsidR="00FE7B8A" w:rsidRPr="005B06AD">
        <w:rPr>
          <w:lang w:val="it-IT"/>
        </w:rPr>
        <w:t>tecniche di interpolazione</w:t>
      </w:r>
      <w:r w:rsidRPr="005B06AD">
        <w:rPr>
          <w:lang w:val="it-IT"/>
        </w:rPr>
        <w:t xml:space="preserve"> (FAOSTAT 2019).</w:t>
      </w:r>
    </w:p>
    <w:p w14:paraId="6A38A478" w14:textId="77777777" w:rsidR="00D84998" w:rsidRPr="005B06AD" w:rsidRDefault="00D84998" w:rsidP="00F767EA">
      <w:pPr>
        <w:pStyle w:val="Corpotesto"/>
        <w:spacing w:line="259" w:lineRule="auto"/>
        <w:ind w:right="135"/>
        <w:jc w:val="both"/>
        <w:rPr>
          <w:lang w:val="it-IT"/>
        </w:rPr>
      </w:pPr>
    </w:p>
    <w:p w14:paraId="1A0A8EAD" w14:textId="240F9253" w:rsidR="00D84998" w:rsidRPr="005B06AD" w:rsidRDefault="00D84998" w:rsidP="00F767EA">
      <w:pPr>
        <w:pStyle w:val="Corpotesto"/>
        <w:spacing w:line="259" w:lineRule="auto"/>
        <w:ind w:right="135"/>
        <w:jc w:val="both"/>
        <w:rPr>
          <w:u w:val="single"/>
          <w:lang w:val="it-IT"/>
        </w:rPr>
      </w:pPr>
      <w:r w:rsidRPr="005B06AD">
        <w:rPr>
          <w:u w:val="single"/>
          <w:lang w:val="it-IT"/>
        </w:rPr>
        <w:t>Produzione di carne pro</w:t>
      </w:r>
      <w:r w:rsidR="00FE7B8A" w:rsidRPr="005B06AD">
        <w:rPr>
          <w:u w:val="single"/>
          <w:lang w:val="it-IT"/>
        </w:rPr>
        <w:t xml:space="preserve"> </w:t>
      </w:r>
      <w:r w:rsidRPr="005B06AD">
        <w:rPr>
          <w:u w:val="single"/>
          <w:lang w:val="it-IT"/>
        </w:rPr>
        <w:t>capite (Figura 1d)</w:t>
      </w:r>
    </w:p>
    <w:p w14:paraId="221038B9" w14:textId="6E9D439F" w:rsidR="00D84998" w:rsidRPr="005B06AD" w:rsidRDefault="00D84998" w:rsidP="00F767EA">
      <w:pPr>
        <w:pStyle w:val="Corpotesto"/>
        <w:spacing w:line="259" w:lineRule="auto"/>
        <w:ind w:right="135"/>
        <w:jc w:val="both"/>
        <w:rPr>
          <w:lang w:val="it-IT"/>
        </w:rPr>
      </w:pPr>
      <w:r w:rsidRPr="005B06AD">
        <w:rPr>
          <w:lang w:val="it-IT"/>
        </w:rPr>
        <w:t xml:space="preserve">Abbiamo utilizzato i dati sulla produzione totale di carne di FAOSTAT insieme alle stime sulla </w:t>
      </w:r>
      <w:r w:rsidR="00885F1C" w:rsidRPr="005B06AD">
        <w:rPr>
          <w:lang w:val="it-IT"/>
        </w:rPr>
        <w:t>numerosità</w:t>
      </w:r>
      <w:r w:rsidRPr="005B06AD">
        <w:rPr>
          <w:lang w:val="it-IT"/>
        </w:rPr>
        <w:t xml:space="preserve"> della popolazione umana di FAOSTAT (Figura 1a</w:t>
      </w:r>
      <w:r w:rsidR="00885F1C" w:rsidRPr="005B06AD">
        <w:rPr>
          <w:lang w:val="it-IT"/>
        </w:rPr>
        <w:t>) per stimare la produzione pro</w:t>
      </w:r>
      <w:r w:rsidR="00FE7B8A" w:rsidRPr="005B06AD">
        <w:rPr>
          <w:lang w:val="it-IT"/>
        </w:rPr>
        <w:t xml:space="preserve"> </w:t>
      </w:r>
      <w:r w:rsidRPr="005B06AD">
        <w:rPr>
          <w:lang w:val="it-IT"/>
        </w:rPr>
        <w:t>capite di carne (FAOSTAT 2019). Questi dati "sono forniti in termini di peso della carcassa</w:t>
      </w:r>
      <w:r w:rsidR="00FE7B8A" w:rsidRPr="005B06AD">
        <w:rPr>
          <w:lang w:val="it-IT"/>
        </w:rPr>
        <w:t xml:space="preserve"> non scuoiata</w:t>
      </w:r>
      <w:r w:rsidRPr="005B06AD">
        <w:rPr>
          <w:lang w:val="it-IT"/>
        </w:rPr>
        <w:t>, esclusi frattaglie e grassi da macellazione" (FAOSTAT 2019).</w:t>
      </w:r>
    </w:p>
    <w:p w14:paraId="635CDBAF" w14:textId="77777777" w:rsidR="00D84998" w:rsidRPr="005B06AD" w:rsidRDefault="00D84998" w:rsidP="00F767EA">
      <w:pPr>
        <w:pStyle w:val="Corpotesto"/>
        <w:spacing w:line="259" w:lineRule="auto"/>
        <w:ind w:right="135"/>
        <w:jc w:val="both"/>
        <w:rPr>
          <w:lang w:val="it-IT"/>
        </w:rPr>
      </w:pPr>
    </w:p>
    <w:p w14:paraId="7C64B78A" w14:textId="77777777" w:rsidR="00D84998" w:rsidRPr="005B06AD" w:rsidRDefault="00D84998" w:rsidP="00F767EA">
      <w:pPr>
        <w:pStyle w:val="Corpotesto"/>
        <w:spacing w:line="259" w:lineRule="auto"/>
        <w:ind w:right="135"/>
        <w:jc w:val="both"/>
        <w:rPr>
          <w:u w:val="single"/>
          <w:lang w:val="it-IT"/>
        </w:rPr>
      </w:pPr>
      <w:r w:rsidRPr="005B06AD">
        <w:rPr>
          <w:u w:val="single"/>
          <w:lang w:val="it-IT"/>
        </w:rPr>
        <w:t>Prodotto interno lordo (Figura 1e)</w:t>
      </w:r>
    </w:p>
    <w:p w14:paraId="3EE229B6" w14:textId="2B0ACA99" w:rsidR="002E0F7F" w:rsidRPr="005B06AD" w:rsidRDefault="00D84998" w:rsidP="00F767EA">
      <w:pPr>
        <w:pStyle w:val="Corpotesto"/>
        <w:spacing w:line="259" w:lineRule="auto"/>
        <w:ind w:right="135"/>
        <w:jc w:val="both"/>
        <w:rPr>
          <w:lang w:val="it-IT"/>
        </w:rPr>
      </w:pPr>
      <w:r w:rsidRPr="005B06AD">
        <w:rPr>
          <w:lang w:val="it-IT"/>
        </w:rPr>
        <w:t>Abbiamo ottenuto questa variabile dalla Banca mondiale (The World Bank 2019b). Il nome completo della variabile è</w:t>
      </w:r>
      <w:r w:rsidR="00885F1C" w:rsidRPr="005B06AD">
        <w:rPr>
          <w:lang w:val="it-IT"/>
        </w:rPr>
        <w:t xml:space="preserve"> </w:t>
      </w:r>
      <w:r w:rsidRPr="005B06AD">
        <w:rPr>
          <w:lang w:val="it-IT"/>
        </w:rPr>
        <w:t xml:space="preserve">DPPDP (in dollari USA attuali) ‖ e l'ID variabile della Banca mondiale è NY.GDP.MKTP.CD. Questa variabile è stata derivata da più fonti, inclusi </w:t>
      </w:r>
      <w:r w:rsidR="005C5F16" w:rsidRPr="005B06AD">
        <w:rPr>
          <w:lang w:val="it-IT"/>
        </w:rPr>
        <w:t>gli indicatori</w:t>
      </w:r>
      <w:r w:rsidRPr="005B06AD">
        <w:rPr>
          <w:lang w:val="it-IT"/>
        </w:rPr>
        <w:t xml:space="preserve"> nazionali della Banca mondiale. L'elenco completo delle fonti è disponibile presso The World Bank (2019b). Il prodotto interno lordo è "la somma del valore aggiunto lordo di tutti i produttori residenti nell'economia più eventuali tasse sui prodotti e meno eventuali sovvenzioni non incluse nel valore dei prodotti" (2019b)</w:t>
      </w:r>
      <w:r w:rsidR="0079706B" w:rsidRPr="005B06AD">
        <w:rPr>
          <w:lang w:val="it-IT"/>
        </w:rPr>
        <w:t>.</w:t>
      </w:r>
    </w:p>
    <w:p w14:paraId="0566F945" w14:textId="77777777" w:rsidR="002E0F7F" w:rsidRPr="005B06AD" w:rsidRDefault="002E0F7F" w:rsidP="00F767EA">
      <w:pPr>
        <w:spacing w:line="276" w:lineRule="auto"/>
        <w:jc w:val="both"/>
        <w:rPr>
          <w:lang w:val="it-IT"/>
        </w:rPr>
        <w:sectPr w:rsidR="002E0F7F" w:rsidRPr="005B06AD">
          <w:pgSz w:w="12240" w:h="15840"/>
          <w:pgMar w:top="1080" w:right="1040" w:bottom="940" w:left="880" w:header="0" w:footer="744" w:gutter="0"/>
          <w:cols w:space="720"/>
        </w:sectPr>
      </w:pPr>
    </w:p>
    <w:p w14:paraId="43A1AB70" w14:textId="741F5101" w:rsidR="004B30E9" w:rsidRPr="005B06AD" w:rsidRDefault="000625A2" w:rsidP="00F767EA">
      <w:pPr>
        <w:pStyle w:val="Corpotesto"/>
        <w:spacing w:before="11"/>
        <w:jc w:val="both"/>
        <w:rPr>
          <w:u w:val="single"/>
          <w:lang w:val="it-IT"/>
        </w:rPr>
      </w:pPr>
      <w:r w:rsidRPr="005B06AD">
        <w:rPr>
          <w:u w:val="single"/>
          <w:lang w:val="it-IT"/>
        </w:rPr>
        <w:lastRenderedPageBreak/>
        <w:t>Deforestazione globale</w:t>
      </w:r>
      <w:r w:rsidR="004B30E9" w:rsidRPr="005B06AD">
        <w:rPr>
          <w:u w:val="single"/>
          <w:lang w:val="it-IT"/>
        </w:rPr>
        <w:t xml:space="preserve"> (Figura 1f)</w:t>
      </w:r>
    </w:p>
    <w:p w14:paraId="637E5C77" w14:textId="367A6BF9" w:rsidR="004B30E9" w:rsidRPr="005B06AD" w:rsidRDefault="004B30E9" w:rsidP="00F767EA">
      <w:pPr>
        <w:pStyle w:val="Corpotesto"/>
        <w:spacing w:before="11"/>
        <w:jc w:val="both"/>
        <w:rPr>
          <w:lang w:val="it-IT"/>
        </w:rPr>
      </w:pPr>
      <w:r w:rsidRPr="005B06AD">
        <w:rPr>
          <w:lang w:val="it-IT"/>
        </w:rPr>
        <w:t xml:space="preserve">Abbiamo ottenuto dati sulla </w:t>
      </w:r>
      <w:r w:rsidR="000625A2" w:rsidRPr="005B06AD">
        <w:rPr>
          <w:lang w:val="it-IT"/>
        </w:rPr>
        <w:t>deforestazione</w:t>
      </w:r>
      <w:r w:rsidRPr="005B06AD">
        <w:rPr>
          <w:lang w:val="it-IT"/>
        </w:rPr>
        <w:t xml:space="preserve"> globale dal Global </w:t>
      </w:r>
      <w:proofErr w:type="spellStart"/>
      <w:r w:rsidRPr="005B06AD">
        <w:rPr>
          <w:lang w:val="it-IT"/>
        </w:rPr>
        <w:t>Forest</w:t>
      </w:r>
      <w:proofErr w:type="spellEnd"/>
      <w:r w:rsidRPr="005B06AD">
        <w:rPr>
          <w:lang w:val="it-IT"/>
        </w:rPr>
        <w:t xml:space="preserve"> Watch (Hansen et al. 2013). Questi dati esprimono una perdita globale in milioni di ettari (</w:t>
      </w:r>
      <w:proofErr w:type="spellStart"/>
      <w:r w:rsidRPr="005B06AD">
        <w:rPr>
          <w:lang w:val="it-IT"/>
        </w:rPr>
        <w:t>Mha</w:t>
      </w:r>
      <w:proofErr w:type="spellEnd"/>
      <w:r w:rsidRPr="005B06AD">
        <w:rPr>
          <w:lang w:val="it-IT"/>
        </w:rPr>
        <w:t xml:space="preserve">) e sono derivati da mappe di cambiamento </w:t>
      </w:r>
      <w:r w:rsidR="000625A2" w:rsidRPr="005B06AD">
        <w:rPr>
          <w:lang w:val="it-IT"/>
        </w:rPr>
        <w:t>della copertura del suolo rilevate da satellite</w:t>
      </w:r>
      <w:r w:rsidRPr="005B06AD">
        <w:rPr>
          <w:lang w:val="it-IT"/>
        </w:rPr>
        <w:t xml:space="preserve">. Va notato che la </w:t>
      </w:r>
      <w:r w:rsidR="000625A2" w:rsidRPr="005B06AD">
        <w:rPr>
          <w:lang w:val="it-IT"/>
        </w:rPr>
        <w:t>deforestazione</w:t>
      </w:r>
      <w:r w:rsidRPr="005B06AD">
        <w:rPr>
          <w:lang w:val="it-IT"/>
        </w:rPr>
        <w:t xml:space="preserve"> è generale e non collegata a un tipo specifico di </w:t>
      </w:r>
      <w:r w:rsidR="000625A2" w:rsidRPr="005B06AD">
        <w:rPr>
          <w:lang w:val="it-IT"/>
        </w:rPr>
        <w:t>cambiamento di uso del suolo</w:t>
      </w:r>
      <w:r w:rsidR="009E4E0B" w:rsidRPr="005B06AD">
        <w:rPr>
          <w:lang w:val="it-IT"/>
        </w:rPr>
        <w:t>. Quindi</w:t>
      </w:r>
      <w:r w:rsidRPr="005B06AD">
        <w:rPr>
          <w:lang w:val="it-IT"/>
        </w:rPr>
        <w:t xml:space="preserve"> include </w:t>
      </w:r>
      <w:r w:rsidR="000625A2" w:rsidRPr="005B06AD">
        <w:rPr>
          <w:lang w:val="it-IT"/>
        </w:rPr>
        <w:t>tra le cause l’azione della</w:t>
      </w:r>
      <w:r w:rsidRPr="005B06AD">
        <w:rPr>
          <w:lang w:val="it-IT"/>
        </w:rPr>
        <w:t xml:space="preserve"> fauna selvatica, la conversione in agricoltura, </w:t>
      </w:r>
      <w:r w:rsidR="000625A2" w:rsidRPr="005B06AD">
        <w:rPr>
          <w:lang w:val="it-IT"/>
        </w:rPr>
        <w:t>gli organismi patogeni</w:t>
      </w:r>
      <w:r w:rsidRPr="005B06AD">
        <w:rPr>
          <w:lang w:val="it-IT"/>
        </w:rPr>
        <w:t xml:space="preserve"> ecc. Inoltre, non tiene conto de</w:t>
      </w:r>
      <w:r w:rsidR="000625A2" w:rsidRPr="005B06AD">
        <w:rPr>
          <w:lang w:val="it-IT"/>
        </w:rPr>
        <w:t xml:space="preserve">gli incrementi in superficie forestale. </w:t>
      </w:r>
      <w:r w:rsidRPr="005B06AD">
        <w:rPr>
          <w:lang w:val="it-IT"/>
        </w:rPr>
        <w:t xml:space="preserve">Pertanto, la perdita netta </w:t>
      </w:r>
      <w:r w:rsidR="000625A2" w:rsidRPr="005B06AD">
        <w:rPr>
          <w:lang w:val="it-IT"/>
        </w:rPr>
        <w:t>di</w:t>
      </w:r>
      <w:r w:rsidRPr="005B06AD">
        <w:rPr>
          <w:lang w:val="it-IT"/>
        </w:rPr>
        <w:t xml:space="preserve"> foreste potrebbe essere inferiore </w:t>
      </w:r>
      <w:r w:rsidR="000625A2" w:rsidRPr="005B06AD">
        <w:rPr>
          <w:lang w:val="it-IT"/>
        </w:rPr>
        <w:t>alle cifre</w:t>
      </w:r>
      <w:r w:rsidRPr="005B06AD">
        <w:rPr>
          <w:lang w:val="it-IT"/>
        </w:rPr>
        <w:t xml:space="preserve"> riportat</w:t>
      </w:r>
      <w:r w:rsidR="000625A2" w:rsidRPr="005B06AD">
        <w:rPr>
          <w:lang w:val="it-IT"/>
        </w:rPr>
        <w:t>e</w:t>
      </w:r>
      <w:r w:rsidRPr="005B06AD">
        <w:rPr>
          <w:lang w:val="it-IT"/>
        </w:rPr>
        <w:t>.</w:t>
      </w:r>
    </w:p>
    <w:p w14:paraId="01AE30BA" w14:textId="77777777" w:rsidR="004B30E9" w:rsidRPr="005B06AD" w:rsidRDefault="004B30E9" w:rsidP="00F767EA">
      <w:pPr>
        <w:pStyle w:val="Corpotesto"/>
        <w:spacing w:before="11"/>
        <w:jc w:val="both"/>
        <w:rPr>
          <w:lang w:val="it-IT"/>
        </w:rPr>
      </w:pPr>
    </w:p>
    <w:p w14:paraId="12900DD7" w14:textId="0DDFE49B" w:rsidR="004B30E9" w:rsidRPr="005B06AD" w:rsidRDefault="000625A2" w:rsidP="00F767EA">
      <w:pPr>
        <w:pStyle w:val="Corpotesto"/>
        <w:spacing w:before="11"/>
        <w:jc w:val="both"/>
        <w:rPr>
          <w:u w:val="single"/>
          <w:lang w:val="it-IT"/>
        </w:rPr>
      </w:pPr>
      <w:r w:rsidRPr="005B06AD">
        <w:rPr>
          <w:u w:val="single"/>
          <w:lang w:val="it-IT"/>
        </w:rPr>
        <w:t>Deforestazione</w:t>
      </w:r>
      <w:r w:rsidR="004B30E9" w:rsidRPr="005B06AD">
        <w:rPr>
          <w:u w:val="single"/>
          <w:lang w:val="it-IT"/>
        </w:rPr>
        <w:t xml:space="preserve"> della foresta </w:t>
      </w:r>
      <w:r w:rsidRPr="005B06AD">
        <w:rPr>
          <w:u w:val="single"/>
          <w:lang w:val="it-IT"/>
        </w:rPr>
        <w:t>A</w:t>
      </w:r>
      <w:r w:rsidR="004B30E9" w:rsidRPr="005B06AD">
        <w:rPr>
          <w:u w:val="single"/>
          <w:lang w:val="it-IT"/>
        </w:rPr>
        <w:t>mazzonica brasiliana (Figura 1g)</w:t>
      </w:r>
    </w:p>
    <w:p w14:paraId="44B6748E" w14:textId="505CEF50" w:rsidR="004B30E9" w:rsidRPr="005B06AD" w:rsidRDefault="004B30E9" w:rsidP="00F767EA">
      <w:pPr>
        <w:pStyle w:val="Corpotesto"/>
        <w:spacing w:before="11"/>
        <w:jc w:val="both"/>
        <w:rPr>
          <w:lang w:val="it-IT"/>
        </w:rPr>
      </w:pPr>
      <w:r w:rsidRPr="005B06AD">
        <w:rPr>
          <w:lang w:val="it-IT"/>
        </w:rPr>
        <w:t xml:space="preserve">Abbiamo ottenuto stime annuali sulla perdita di foresta amazzonica brasiliana da Butler (2017). Il Brasile contiene circa il 60% della foresta pluviale amazzonica. Le fonti utilizzate da Butler (2017) sono il National Institute of Space </w:t>
      </w:r>
      <w:proofErr w:type="spellStart"/>
      <w:r w:rsidRPr="005B06AD">
        <w:rPr>
          <w:lang w:val="it-IT"/>
        </w:rPr>
        <w:t>Research</w:t>
      </w:r>
      <w:proofErr w:type="spellEnd"/>
      <w:r w:rsidRPr="005B06AD">
        <w:rPr>
          <w:lang w:val="it-IT"/>
        </w:rPr>
        <w:t xml:space="preserve"> (INPE) del Brasile </w:t>
      </w:r>
      <w:r w:rsidR="000625A2" w:rsidRPr="005B06AD">
        <w:rPr>
          <w:lang w:val="it-IT"/>
        </w:rPr>
        <w:t xml:space="preserve">la </w:t>
      </w:r>
      <w:r w:rsidRPr="005B06AD">
        <w:rPr>
          <w:lang w:val="it-IT"/>
        </w:rPr>
        <w:t xml:space="preserve">FAO. Sebbene l'INPE non abbia fornito una stima della deforestazione per il 2019, i dati </w:t>
      </w:r>
      <w:r w:rsidR="000625A2" w:rsidRPr="005B06AD">
        <w:rPr>
          <w:lang w:val="it-IT"/>
        </w:rPr>
        <w:t xml:space="preserve">INPE </w:t>
      </w:r>
      <w:r w:rsidRPr="005B06AD">
        <w:rPr>
          <w:lang w:val="it-IT"/>
        </w:rPr>
        <w:t>su</w:t>
      </w:r>
      <w:r w:rsidR="000625A2" w:rsidRPr="005B06AD">
        <w:rPr>
          <w:lang w:val="it-IT"/>
        </w:rPr>
        <w:t>l numero</w:t>
      </w:r>
      <w:r w:rsidRPr="005B06AD">
        <w:rPr>
          <w:lang w:val="it-IT"/>
        </w:rPr>
        <w:t xml:space="preserve"> degli incendi mostrano un picco associato all</w:t>
      </w:r>
      <w:r w:rsidR="000625A2" w:rsidRPr="005B06AD">
        <w:rPr>
          <w:lang w:val="it-IT"/>
        </w:rPr>
        <w:t xml:space="preserve">a </w:t>
      </w:r>
      <w:r w:rsidRPr="005B06AD">
        <w:rPr>
          <w:lang w:val="it-IT"/>
        </w:rPr>
        <w:t xml:space="preserve">deforestazione </w:t>
      </w:r>
      <w:r w:rsidR="000625A2" w:rsidRPr="005B06AD">
        <w:rPr>
          <w:lang w:val="it-IT"/>
        </w:rPr>
        <w:t xml:space="preserve">su vasta scala in quell’anno </w:t>
      </w:r>
      <w:r w:rsidRPr="005B06AD">
        <w:rPr>
          <w:lang w:val="it-IT"/>
        </w:rPr>
        <w:t>(Amigo 2019).</w:t>
      </w:r>
    </w:p>
    <w:p w14:paraId="26A24055" w14:textId="77777777" w:rsidR="004B30E9" w:rsidRPr="005B06AD" w:rsidRDefault="004B30E9" w:rsidP="00F767EA">
      <w:pPr>
        <w:pStyle w:val="Corpotesto"/>
        <w:spacing w:before="11"/>
        <w:jc w:val="both"/>
        <w:rPr>
          <w:lang w:val="it-IT"/>
        </w:rPr>
      </w:pPr>
    </w:p>
    <w:p w14:paraId="398AC110" w14:textId="77777777" w:rsidR="004B30E9" w:rsidRPr="005B06AD" w:rsidRDefault="004B30E9" w:rsidP="00F767EA">
      <w:pPr>
        <w:pStyle w:val="Corpotesto"/>
        <w:spacing w:before="11"/>
        <w:jc w:val="both"/>
        <w:rPr>
          <w:u w:val="single"/>
          <w:lang w:val="it-IT"/>
        </w:rPr>
      </w:pPr>
      <w:r w:rsidRPr="005B06AD">
        <w:rPr>
          <w:u w:val="single"/>
          <w:lang w:val="it-IT"/>
        </w:rPr>
        <w:t>Consumo energetico (Figura 1h)</w:t>
      </w:r>
    </w:p>
    <w:p w14:paraId="522770F1" w14:textId="4FAB7C27" w:rsidR="004B30E9" w:rsidRPr="005B06AD" w:rsidRDefault="004B30E9" w:rsidP="00F767EA">
      <w:pPr>
        <w:pStyle w:val="Corpotesto"/>
        <w:spacing w:before="11"/>
        <w:jc w:val="both"/>
        <w:rPr>
          <w:lang w:val="it-IT"/>
        </w:rPr>
      </w:pPr>
      <w:r w:rsidRPr="005B06AD">
        <w:rPr>
          <w:lang w:val="it-IT"/>
        </w:rPr>
        <w:t>Abbiamo utilizz</w:t>
      </w:r>
      <w:r w:rsidR="0030429D" w:rsidRPr="005B06AD">
        <w:rPr>
          <w:lang w:val="it-IT"/>
        </w:rPr>
        <w:t xml:space="preserve">ato la revisione statistica </w:t>
      </w:r>
      <w:r w:rsidRPr="005B06AD">
        <w:rPr>
          <w:lang w:val="it-IT"/>
        </w:rPr>
        <w:t xml:space="preserve">dell'energia </w:t>
      </w:r>
      <w:r w:rsidR="0030429D" w:rsidRPr="005B06AD">
        <w:rPr>
          <w:lang w:val="it-IT"/>
        </w:rPr>
        <w:t xml:space="preserve">mondiale </w:t>
      </w:r>
      <w:r w:rsidRPr="005B06AD">
        <w:rPr>
          <w:lang w:val="it-IT"/>
        </w:rPr>
        <w:t xml:space="preserve">della British Petroleum Company nel 2019 come nostra fonte di dati sul consumo di energia (British Petroleum Company 2019). Per il consumo di energia, abbiamo utilizzato le seguenti serie temporali: carbone, petrolio, gas naturale, solare ed eolico. Abbiamo raggruppato solare ed eolico in un'unica categoria. I dati sul consumo di carbone sono solo per i combustibili solidi commerciali. In ogni caso, le unità di consumo energetico sono </w:t>
      </w:r>
      <w:r w:rsidR="0030429D" w:rsidRPr="005B06AD">
        <w:rPr>
          <w:lang w:val="it-IT"/>
        </w:rPr>
        <w:t xml:space="preserve">espresse in </w:t>
      </w:r>
      <w:r w:rsidR="006B5CA4" w:rsidRPr="005B06AD">
        <w:rPr>
          <w:lang w:val="it-IT"/>
        </w:rPr>
        <w:t>miliardi di tonnellate</w:t>
      </w:r>
      <w:r w:rsidRPr="005B06AD">
        <w:rPr>
          <w:lang w:val="it-IT"/>
        </w:rPr>
        <w:t xml:space="preserve"> </w:t>
      </w:r>
      <w:r w:rsidR="0030429D" w:rsidRPr="005B06AD">
        <w:rPr>
          <w:lang w:val="it-IT"/>
        </w:rPr>
        <w:t>di petrolio</w:t>
      </w:r>
      <w:r w:rsidR="006B5CA4" w:rsidRPr="005B06AD">
        <w:rPr>
          <w:lang w:val="it-IT"/>
        </w:rPr>
        <w:t xml:space="preserve"> equivalente</w:t>
      </w:r>
      <w:r w:rsidR="0030429D" w:rsidRPr="005B06AD">
        <w:rPr>
          <w:lang w:val="it-IT"/>
        </w:rPr>
        <w:t xml:space="preserve"> (</w:t>
      </w:r>
      <w:proofErr w:type="spellStart"/>
      <w:r w:rsidR="0030429D" w:rsidRPr="005B06AD">
        <w:rPr>
          <w:lang w:val="it-IT"/>
        </w:rPr>
        <w:t>Gt</w:t>
      </w:r>
      <w:proofErr w:type="spellEnd"/>
      <w:r w:rsidR="0030429D" w:rsidRPr="005B06AD">
        <w:rPr>
          <w:lang w:val="it-IT"/>
        </w:rPr>
        <w:t xml:space="preserve"> </w:t>
      </w:r>
      <w:proofErr w:type="spellStart"/>
      <w:r w:rsidR="0030429D" w:rsidRPr="005B06AD">
        <w:rPr>
          <w:lang w:val="it-IT"/>
        </w:rPr>
        <w:t>oe</w:t>
      </w:r>
      <w:proofErr w:type="spellEnd"/>
      <w:r w:rsidR="0030429D" w:rsidRPr="005B06AD">
        <w:rPr>
          <w:lang w:val="it-IT"/>
        </w:rPr>
        <w:t xml:space="preserve">). </w:t>
      </w:r>
      <w:r w:rsidRPr="005B06AD">
        <w:rPr>
          <w:lang w:val="it-IT"/>
        </w:rPr>
        <w:t xml:space="preserve">Altre fonti di energia a basse emissioni di carbonio come l'energia idroelettrica e l'energia nucleare sono mostrate </w:t>
      </w:r>
      <w:r w:rsidR="0030429D" w:rsidRPr="005B06AD">
        <w:rPr>
          <w:lang w:val="it-IT"/>
        </w:rPr>
        <w:t xml:space="preserve">in </w:t>
      </w:r>
      <w:r w:rsidRPr="005B06AD">
        <w:rPr>
          <w:lang w:val="it-IT"/>
        </w:rPr>
        <w:t>Figura S2. Sebbene non utilizzati in questo rapporto, i dati sul consumo energetico globale sono disponibili anche presso l'Agenzia internazionale dell'energia (AIE 2018).</w:t>
      </w:r>
    </w:p>
    <w:p w14:paraId="4E24A298" w14:textId="77777777" w:rsidR="004B30E9" w:rsidRPr="005B06AD" w:rsidRDefault="004B30E9" w:rsidP="00F767EA">
      <w:pPr>
        <w:pStyle w:val="Corpotesto"/>
        <w:spacing w:before="11"/>
        <w:jc w:val="both"/>
        <w:rPr>
          <w:lang w:val="it-IT"/>
        </w:rPr>
      </w:pPr>
    </w:p>
    <w:p w14:paraId="494D2926" w14:textId="77777777" w:rsidR="0030429D" w:rsidRPr="005B06AD" w:rsidRDefault="0030429D" w:rsidP="00F767EA">
      <w:pPr>
        <w:pStyle w:val="Corpotesto"/>
        <w:spacing w:before="11"/>
        <w:jc w:val="both"/>
        <w:rPr>
          <w:u w:val="single"/>
          <w:lang w:val="it-IT"/>
        </w:rPr>
      </w:pPr>
      <w:r w:rsidRPr="005B06AD">
        <w:rPr>
          <w:u w:val="single"/>
          <w:lang w:val="it-IT"/>
        </w:rPr>
        <w:t>Trasporto aereo (Figura 1i)</w:t>
      </w:r>
    </w:p>
    <w:p w14:paraId="4E38C8C9" w14:textId="2979445B" w:rsidR="0030429D" w:rsidRPr="005B06AD" w:rsidRDefault="0030429D" w:rsidP="00F767EA">
      <w:pPr>
        <w:pStyle w:val="Corpotesto"/>
        <w:spacing w:before="11"/>
        <w:jc w:val="both"/>
        <w:rPr>
          <w:lang w:val="it-IT"/>
        </w:rPr>
      </w:pPr>
      <w:r w:rsidRPr="005B06AD">
        <w:rPr>
          <w:lang w:val="it-IT"/>
        </w:rPr>
        <w:t xml:space="preserve">Abbiamo ottenuto questa variabile dalla Banca mondiale (The World Bank 2019c). Il nome completo della variabile è "Trasporto aereo, passeggeri trasportati". L'ID della variabile corrispondente della Banca mondiale è IS.AIR.PSGR. Questa variabile è stata derivata da più fonti, tra cui l'Organizzazione internazionale </w:t>
      </w:r>
      <w:r w:rsidR="006B5CA4" w:rsidRPr="005B06AD">
        <w:rPr>
          <w:lang w:val="it-IT"/>
        </w:rPr>
        <w:t xml:space="preserve">per </w:t>
      </w:r>
      <w:r w:rsidRPr="005B06AD">
        <w:rPr>
          <w:lang w:val="it-IT"/>
        </w:rPr>
        <w:t>l'aviazione civile. L'elenco completo delle fonti è disponibile presso The World Bank (2019c). Il trasporto aereo comprende viaggiatori nazionali e internazionali.</w:t>
      </w:r>
    </w:p>
    <w:p w14:paraId="737BB769" w14:textId="77777777" w:rsidR="0030429D" w:rsidRPr="005B06AD" w:rsidRDefault="0030429D" w:rsidP="00F767EA">
      <w:pPr>
        <w:pStyle w:val="Corpotesto"/>
        <w:spacing w:before="11"/>
        <w:jc w:val="both"/>
        <w:rPr>
          <w:lang w:val="it-IT"/>
        </w:rPr>
      </w:pPr>
    </w:p>
    <w:p w14:paraId="6C3822AA" w14:textId="3A4CD932" w:rsidR="0030429D" w:rsidRPr="005B06AD" w:rsidRDefault="000F2897" w:rsidP="00F767EA">
      <w:pPr>
        <w:pStyle w:val="Corpotesto"/>
        <w:spacing w:before="11"/>
        <w:jc w:val="both"/>
        <w:rPr>
          <w:u w:val="single"/>
          <w:lang w:val="it-IT"/>
        </w:rPr>
      </w:pPr>
      <w:r w:rsidRPr="005B06AD">
        <w:rPr>
          <w:u w:val="single"/>
          <w:lang w:val="it-IT"/>
        </w:rPr>
        <w:t>Disinvestimenti</w:t>
      </w:r>
      <w:r w:rsidR="0030429D" w:rsidRPr="005B06AD">
        <w:rPr>
          <w:u w:val="single"/>
          <w:lang w:val="it-IT"/>
        </w:rPr>
        <w:t xml:space="preserve"> (Figura 1j)</w:t>
      </w:r>
    </w:p>
    <w:p w14:paraId="61C09EE7" w14:textId="6F04BEFF" w:rsidR="002E0F7F" w:rsidRPr="005B06AD" w:rsidRDefault="000F2897" w:rsidP="00F767EA">
      <w:pPr>
        <w:pStyle w:val="Corpotesto"/>
        <w:spacing w:before="11"/>
        <w:jc w:val="both"/>
        <w:rPr>
          <w:lang w:val="it-IT"/>
        </w:rPr>
      </w:pPr>
      <w:r w:rsidRPr="005B06AD">
        <w:rPr>
          <w:lang w:val="it-IT"/>
        </w:rPr>
        <w:t>I dati sui disinvestimenti</w:t>
      </w:r>
      <w:r w:rsidR="0030429D" w:rsidRPr="005B06AD">
        <w:rPr>
          <w:lang w:val="it-IT"/>
        </w:rPr>
        <w:t xml:space="preserve"> sono stati ottenuti da 350.org (350.org 2019; </w:t>
      </w:r>
      <w:proofErr w:type="spellStart"/>
      <w:r w:rsidR="0030429D" w:rsidRPr="005B06AD">
        <w:rPr>
          <w:lang w:val="it-IT"/>
        </w:rPr>
        <w:t>Fossil</w:t>
      </w:r>
      <w:proofErr w:type="spellEnd"/>
      <w:r w:rsidR="0030429D" w:rsidRPr="005B06AD">
        <w:rPr>
          <w:lang w:val="it-IT"/>
        </w:rPr>
        <w:t xml:space="preserve"> Free 2019). Coprono il disinvestimento istituzionale di 1117 organizzazioni. Le istituzioni più comunemente rappresentate </w:t>
      </w:r>
      <w:r w:rsidR="006B5CA4" w:rsidRPr="005B06AD">
        <w:rPr>
          <w:lang w:val="it-IT"/>
        </w:rPr>
        <w:t>sono</w:t>
      </w:r>
      <w:r w:rsidR="0030429D" w:rsidRPr="005B06AD">
        <w:rPr>
          <w:lang w:val="it-IT"/>
        </w:rPr>
        <w:t xml:space="preserve"> organizzazioni </w:t>
      </w:r>
      <w:r w:rsidRPr="005B06AD">
        <w:rPr>
          <w:lang w:val="it-IT"/>
        </w:rPr>
        <w:t>religiose</w:t>
      </w:r>
      <w:r w:rsidR="0030429D" w:rsidRPr="005B06AD">
        <w:rPr>
          <w:lang w:val="it-IT"/>
        </w:rPr>
        <w:t>, fondazioni filantropiche, istituzioni educative, governi e fondi pensione (</w:t>
      </w:r>
      <w:proofErr w:type="spellStart"/>
      <w:r w:rsidR="0030429D" w:rsidRPr="005B06AD">
        <w:rPr>
          <w:lang w:val="it-IT"/>
        </w:rPr>
        <w:t>Fossil</w:t>
      </w:r>
      <w:proofErr w:type="spellEnd"/>
      <w:r w:rsidR="0030429D" w:rsidRPr="005B06AD">
        <w:rPr>
          <w:lang w:val="it-IT"/>
        </w:rPr>
        <w:t xml:space="preserve"> Free 2019). Utilizzando il database di disinvestimento di 350.org, abbiamo calcolato il disinvestimento istituzionale totale cumulativo per anno (dal 2013) in base alla variabile ―data di registrazione</w:t>
      </w:r>
      <w:r w:rsidRPr="005B06AD">
        <w:rPr>
          <w:lang w:val="it-IT"/>
        </w:rPr>
        <w:t xml:space="preserve"> </w:t>
      </w:r>
      <w:r w:rsidR="0030429D" w:rsidRPr="005B06AD">
        <w:rPr>
          <w:lang w:val="it-IT"/>
        </w:rPr>
        <w:t>‖, che generalmente rappresenta la data di annuncio dell'impegno di disinvestimento dell'organizzazione</w:t>
      </w:r>
      <w:r w:rsidRPr="005B06AD">
        <w:rPr>
          <w:lang w:val="it-IT"/>
        </w:rPr>
        <w:t xml:space="preserve"> </w:t>
      </w:r>
      <w:r w:rsidR="0030429D" w:rsidRPr="005B06AD">
        <w:rPr>
          <w:lang w:val="it-IT"/>
        </w:rPr>
        <w:t>‖ (350.org 2019)</w:t>
      </w:r>
      <w:r w:rsidR="0079706B" w:rsidRPr="005B06AD">
        <w:rPr>
          <w:lang w:val="it-IT"/>
        </w:rPr>
        <w:t>.</w:t>
      </w:r>
    </w:p>
    <w:p w14:paraId="359CE1E1" w14:textId="77777777" w:rsidR="002E0F7F" w:rsidRPr="005B06AD" w:rsidRDefault="002E0F7F" w:rsidP="00F767EA">
      <w:pPr>
        <w:spacing w:line="259" w:lineRule="auto"/>
        <w:jc w:val="both"/>
        <w:rPr>
          <w:lang w:val="it-IT"/>
        </w:rPr>
        <w:sectPr w:rsidR="002E0F7F" w:rsidRPr="005B06AD">
          <w:pgSz w:w="12240" w:h="15840"/>
          <w:pgMar w:top="1080" w:right="1040" w:bottom="940" w:left="880" w:header="0" w:footer="744" w:gutter="0"/>
          <w:cols w:space="720"/>
        </w:sectPr>
      </w:pPr>
    </w:p>
    <w:p w14:paraId="60DB7C7D" w14:textId="77777777" w:rsidR="00AF7364" w:rsidRPr="005B06AD" w:rsidRDefault="00AF7364" w:rsidP="00F767EA">
      <w:pPr>
        <w:pStyle w:val="Corpotesto"/>
        <w:spacing w:before="9"/>
        <w:jc w:val="both"/>
        <w:rPr>
          <w:u w:val="single"/>
          <w:lang w:val="it-IT"/>
        </w:rPr>
      </w:pPr>
      <w:r w:rsidRPr="005B06AD">
        <w:rPr>
          <w:u w:val="single"/>
          <w:lang w:val="it-IT"/>
        </w:rPr>
        <w:lastRenderedPageBreak/>
        <w:t>Emissioni di CO</w:t>
      </w:r>
      <w:r w:rsidRPr="005B06AD">
        <w:rPr>
          <w:u w:val="single"/>
          <w:vertAlign w:val="subscript"/>
          <w:lang w:val="it-IT"/>
        </w:rPr>
        <w:t>2</w:t>
      </w:r>
      <w:r w:rsidRPr="005B06AD">
        <w:rPr>
          <w:u w:val="single"/>
          <w:lang w:val="it-IT"/>
        </w:rPr>
        <w:t xml:space="preserve"> (Figura 1k)</w:t>
      </w:r>
    </w:p>
    <w:p w14:paraId="40C48377" w14:textId="5554F8D6" w:rsidR="00AF7364" w:rsidRPr="005B06AD" w:rsidRDefault="00AF7364" w:rsidP="00F767EA">
      <w:pPr>
        <w:pStyle w:val="Corpotesto"/>
        <w:spacing w:before="9"/>
        <w:jc w:val="both"/>
        <w:rPr>
          <w:lang w:val="it-IT"/>
        </w:rPr>
      </w:pPr>
      <w:r w:rsidRPr="005B06AD">
        <w:rPr>
          <w:lang w:val="it-IT"/>
        </w:rPr>
        <w:t>Abbiamo utilizzato la Revisione statistica dell'energia mondiale della British Petroleum Company 2019 come fonte di dati sulle emissioni di CO</w:t>
      </w:r>
      <w:r w:rsidRPr="005B06AD">
        <w:rPr>
          <w:vertAlign w:val="subscript"/>
          <w:lang w:val="it-IT"/>
        </w:rPr>
        <w:t>2</w:t>
      </w:r>
      <w:r w:rsidRPr="005B06AD">
        <w:rPr>
          <w:lang w:val="it-IT"/>
        </w:rPr>
        <w:t xml:space="preserve"> (British Petroleum Company 2019). Questi dati sulle emissioni di CO</w:t>
      </w:r>
      <w:r w:rsidRPr="005B06AD">
        <w:rPr>
          <w:vertAlign w:val="subscript"/>
          <w:lang w:val="it-IT"/>
        </w:rPr>
        <w:t>2</w:t>
      </w:r>
      <w:r w:rsidRPr="005B06AD">
        <w:rPr>
          <w:lang w:val="it-IT"/>
        </w:rPr>
        <w:t xml:space="preserve"> </w:t>
      </w:r>
      <w:r w:rsidR="00DA47FE" w:rsidRPr="005B06AD">
        <w:rPr>
          <w:lang w:val="it-IT"/>
        </w:rPr>
        <w:t>“</w:t>
      </w:r>
      <w:r w:rsidRPr="005B06AD">
        <w:rPr>
          <w:lang w:val="it-IT"/>
        </w:rPr>
        <w:t>riflettono solo […] il consumo di petrolio, gas e carbone per attività legate alla combustione</w:t>
      </w:r>
      <w:r w:rsidR="00DA47FE" w:rsidRPr="005B06AD">
        <w:rPr>
          <w:lang w:val="it-IT"/>
        </w:rPr>
        <w:t>”</w:t>
      </w:r>
      <w:r w:rsidRPr="005B06AD">
        <w:rPr>
          <w:lang w:val="it-IT"/>
        </w:rPr>
        <w:t xml:space="preserve"> (British Petroleum Company 2019). Non tengono conto del sequestro del carbonio, di altre emissioni di CO</w:t>
      </w:r>
      <w:r w:rsidRPr="005B06AD">
        <w:rPr>
          <w:vertAlign w:val="subscript"/>
          <w:lang w:val="it-IT"/>
        </w:rPr>
        <w:t>2</w:t>
      </w:r>
      <w:r w:rsidRPr="005B06AD">
        <w:rPr>
          <w:lang w:val="it-IT"/>
        </w:rPr>
        <w:t xml:space="preserve"> o di </w:t>
      </w:r>
      <w:r w:rsidR="00DA47FE" w:rsidRPr="005B06AD">
        <w:rPr>
          <w:lang w:val="it-IT"/>
        </w:rPr>
        <w:t>altri</w:t>
      </w:r>
      <w:r w:rsidRPr="005B06AD">
        <w:rPr>
          <w:lang w:val="it-IT"/>
        </w:rPr>
        <w:t xml:space="preserve"> gas serra.</w:t>
      </w:r>
    </w:p>
    <w:p w14:paraId="4DF4440C" w14:textId="77777777" w:rsidR="00AF7364" w:rsidRPr="005B06AD" w:rsidRDefault="00AF7364" w:rsidP="00F767EA">
      <w:pPr>
        <w:pStyle w:val="Corpotesto"/>
        <w:spacing w:before="9"/>
        <w:jc w:val="both"/>
        <w:rPr>
          <w:lang w:val="it-IT"/>
        </w:rPr>
      </w:pPr>
    </w:p>
    <w:p w14:paraId="2EE355B4" w14:textId="6841FB81" w:rsidR="00AF7364" w:rsidRPr="005B06AD" w:rsidRDefault="00AF7364" w:rsidP="00F767EA">
      <w:pPr>
        <w:pStyle w:val="Corpotesto"/>
        <w:spacing w:before="9"/>
        <w:jc w:val="both"/>
        <w:rPr>
          <w:u w:val="single"/>
          <w:lang w:val="it-IT"/>
        </w:rPr>
      </w:pPr>
      <w:r w:rsidRPr="005B06AD">
        <w:rPr>
          <w:u w:val="single"/>
          <w:lang w:val="it-IT"/>
        </w:rPr>
        <w:t>Emissioni di CO</w:t>
      </w:r>
      <w:r w:rsidRPr="005B06AD">
        <w:rPr>
          <w:u w:val="single"/>
          <w:vertAlign w:val="subscript"/>
          <w:lang w:val="it-IT"/>
        </w:rPr>
        <w:t>2</w:t>
      </w:r>
      <w:r w:rsidRPr="005B06AD">
        <w:rPr>
          <w:u w:val="single"/>
          <w:lang w:val="it-IT"/>
        </w:rPr>
        <w:t xml:space="preserve"> pro</w:t>
      </w:r>
      <w:r w:rsidR="00DA47FE" w:rsidRPr="005B06AD">
        <w:rPr>
          <w:u w:val="single"/>
          <w:lang w:val="it-IT"/>
        </w:rPr>
        <w:t xml:space="preserve"> </w:t>
      </w:r>
      <w:r w:rsidRPr="005B06AD">
        <w:rPr>
          <w:u w:val="single"/>
          <w:lang w:val="it-IT"/>
        </w:rPr>
        <w:t>capite (Figura 1l)</w:t>
      </w:r>
    </w:p>
    <w:p w14:paraId="727A3479" w14:textId="51507B64" w:rsidR="00AF7364" w:rsidRPr="005B06AD" w:rsidRDefault="00AF7364" w:rsidP="00F767EA">
      <w:pPr>
        <w:pStyle w:val="Corpotesto"/>
        <w:spacing w:before="9"/>
        <w:jc w:val="both"/>
        <w:rPr>
          <w:lang w:val="it-IT"/>
        </w:rPr>
      </w:pPr>
      <w:r w:rsidRPr="005B06AD">
        <w:rPr>
          <w:lang w:val="it-IT"/>
        </w:rPr>
        <w:t>Abbiamo convertito le emissioni totali di CO</w:t>
      </w:r>
      <w:r w:rsidRPr="005B06AD">
        <w:rPr>
          <w:vertAlign w:val="subscript"/>
          <w:lang w:val="it-IT"/>
        </w:rPr>
        <w:t>2</w:t>
      </w:r>
      <w:r w:rsidRPr="005B06AD">
        <w:rPr>
          <w:lang w:val="it-IT"/>
        </w:rPr>
        <w:t xml:space="preserve"> (Figura 1k) in emissioni pro capite di CO</w:t>
      </w:r>
      <w:r w:rsidRPr="005B06AD">
        <w:rPr>
          <w:vertAlign w:val="subscript"/>
          <w:lang w:val="it-IT"/>
        </w:rPr>
        <w:t>2</w:t>
      </w:r>
      <w:r w:rsidRPr="005B06AD">
        <w:rPr>
          <w:lang w:val="it-IT"/>
        </w:rPr>
        <w:t xml:space="preserve"> utilizzando le stime sulla dimensione della popolazione umana di FAOSTAT (Figura 1a).</w:t>
      </w:r>
    </w:p>
    <w:p w14:paraId="553C0A6E" w14:textId="77777777" w:rsidR="00AF7364" w:rsidRPr="005B06AD" w:rsidRDefault="00AF7364" w:rsidP="00F767EA">
      <w:pPr>
        <w:pStyle w:val="Corpotesto"/>
        <w:spacing w:before="9"/>
        <w:jc w:val="both"/>
        <w:rPr>
          <w:lang w:val="it-IT"/>
        </w:rPr>
      </w:pPr>
    </w:p>
    <w:p w14:paraId="7B68FD31" w14:textId="4127F4F3" w:rsidR="00AF7364" w:rsidRPr="005B06AD" w:rsidRDefault="00AF7364" w:rsidP="00F767EA">
      <w:pPr>
        <w:pStyle w:val="Corpotesto"/>
        <w:spacing w:before="9"/>
        <w:jc w:val="both"/>
        <w:rPr>
          <w:u w:val="single"/>
          <w:lang w:val="it-IT"/>
        </w:rPr>
      </w:pPr>
      <w:r w:rsidRPr="005B06AD">
        <w:rPr>
          <w:u w:val="single"/>
          <w:lang w:val="it-IT"/>
        </w:rPr>
        <w:t xml:space="preserve">Emissioni di gas serra coperte </w:t>
      </w:r>
      <w:r w:rsidR="00DA47FE" w:rsidRPr="005B06AD">
        <w:rPr>
          <w:u w:val="single"/>
          <w:lang w:val="it-IT"/>
        </w:rPr>
        <w:t>da carbon pricing</w:t>
      </w:r>
      <w:r w:rsidRPr="005B06AD">
        <w:rPr>
          <w:u w:val="single"/>
          <w:lang w:val="it-IT"/>
        </w:rPr>
        <w:t xml:space="preserve"> (Figura 1m)</w:t>
      </w:r>
    </w:p>
    <w:p w14:paraId="20F23E1C" w14:textId="408D60D5" w:rsidR="00AF7364" w:rsidRPr="005B06AD" w:rsidRDefault="00AF7364" w:rsidP="00F767EA">
      <w:pPr>
        <w:pStyle w:val="Corpotesto"/>
        <w:spacing w:before="9"/>
        <w:jc w:val="both"/>
        <w:rPr>
          <w:lang w:val="it-IT"/>
        </w:rPr>
      </w:pPr>
      <w:r w:rsidRPr="005B06AD">
        <w:rPr>
          <w:lang w:val="it-IT"/>
        </w:rPr>
        <w:t xml:space="preserve">I dati sulla percentuale di emissioni di gas a effetto serra coperti </w:t>
      </w:r>
      <w:r w:rsidR="00D51BEB" w:rsidRPr="005B06AD">
        <w:rPr>
          <w:lang w:val="it-IT"/>
        </w:rPr>
        <w:t>da carbon pricing</w:t>
      </w:r>
      <w:r w:rsidRPr="005B06AD">
        <w:rPr>
          <w:lang w:val="it-IT"/>
        </w:rPr>
        <w:t xml:space="preserve"> sono </w:t>
      </w:r>
      <w:r w:rsidR="00D51BEB" w:rsidRPr="005B06AD">
        <w:rPr>
          <w:lang w:val="it-IT"/>
        </w:rPr>
        <w:t>ricavati</w:t>
      </w:r>
      <w:r w:rsidRPr="005B06AD">
        <w:rPr>
          <w:lang w:val="it-IT"/>
        </w:rPr>
        <w:t xml:space="preserve"> direttamente dal World Bank Group (2019). Quando più schemi </w:t>
      </w:r>
      <w:r w:rsidR="00D51BEB" w:rsidRPr="005B06AD">
        <w:rPr>
          <w:lang w:val="it-IT"/>
        </w:rPr>
        <w:t xml:space="preserve">di pricing </w:t>
      </w:r>
      <w:r w:rsidRPr="005B06AD">
        <w:rPr>
          <w:lang w:val="it-IT"/>
        </w:rPr>
        <w:t xml:space="preserve">coprivano le stesse emissioni, le emissioni sono state associate </w:t>
      </w:r>
      <w:r w:rsidR="00D51BEB" w:rsidRPr="005B06AD">
        <w:rPr>
          <w:lang w:val="it-IT"/>
        </w:rPr>
        <w:t>a quello più vecchio</w:t>
      </w:r>
      <w:r w:rsidRPr="005B06AD">
        <w:rPr>
          <w:lang w:val="it-IT"/>
        </w:rPr>
        <w:t xml:space="preserve">. È stato possibile accedere ai dati utilizzando la Dashboard sui prezzi del carbonio. I dati sono stati </w:t>
      </w:r>
      <w:r w:rsidR="00D51BEB" w:rsidRPr="005B06AD">
        <w:rPr>
          <w:lang w:val="it-IT"/>
        </w:rPr>
        <w:t>consultati</w:t>
      </w:r>
      <w:r w:rsidRPr="005B06AD">
        <w:rPr>
          <w:lang w:val="it-IT"/>
        </w:rPr>
        <w:t xml:space="preserve"> il 1</w:t>
      </w:r>
      <w:r w:rsidR="00DB1E83" w:rsidRPr="005B06AD">
        <w:rPr>
          <w:lang w:val="it-IT"/>
        </w:rPr>
        <w:t>°A</w:t>
      </w:r>
      <w:r w:rsidRPr="005B06AD">
        <w:rPr>
          <w:lang w:val="it-IT"/>
        </w:rPr>
        <w:t>prile 2019.</w:t>
      </w:r>
    </w:p>
    <w:p w14:paraId="084588F3" w14:textId="77777777" w:rsidR="00AF7364" w:rsidRPr="005B06AD" w:rsidRDefault="00AF7364" w:rsidP="00F767EA">
      <w:pPr>
        <w:pStyle w:val="Corpotesto"/>
        <w:spacing w:before="9"/>
        <w:jc w:val="both"/>
        <w:rPr>
          <w:lang w:val="it-IT"/>
        </w:rPr>
      </w:pPr>
    </w:p>
    <w:p w14:paraId="6EA37E68" w14:textId="570066BA" w:rsidR="00AF7364" w:rsidRPr="005B06AD" w:rsidRDefault="001B263A" w:rsidP="00F767EA">
      <w:pPr>
        <w:pStyle w:val="Corpotesto"/>
        <w:spacing w:before="9"/>
        <w:jc w:val="both"/>
        <w:rPr>
          <w:u w:val="single"/>
          <w:lang w:val="it-IT"/>
        </w:rPr>
      </w:pPr>
      <w:r w:rsidRPr="005B06AD">
        <w:rPr>
          <w:u w:val="single"/>
          <w:lang w:val="it-IT"/>
        </w:rPr>
        <w:t>Costo</w:t>
      </w:r>
      <w:r w:rsidR="00AF7364" w:rsidRPr="005B06AD">
        <w:rPr>
          <w:u w:val="single"/>
          <w:lang w:val="it-IT"/>
        </w:rPr>
        <w:t xml:space="preserve"> del carbonio e quota delle emissioni di gas serra coperte </w:t>
      </w:r>
      <w:r w:rsidRPr="005B06AD">
        <w:rPr>
          <w:u w:val="single"/>
          <w:lang w:val="it-IT"/>
        </w:rPr>
        <w:t>da carbon pricing</w:t>
      </w:r>
      <w:r w:rsidR="00AF7364" w:rsidRPr="005B06AD">
        <w:rPr>
          <w:u w:val="single"/>
          <w:lang w:val="it-IT"/>
        </w:rPr>
        <w:t xml:space="preserve"> (Figura 1n)</w:t>
      </w:r>
    </w:p>
    <w:p w14:paraId="47028520" w14:textId="53A5F8F5" w:rsidR="00AF7364" w:rsidRPr="005B06AD" w:rsidRDefault="00AF7364" w:rsidP="00F767EA">
      <w:pPr>
        <w:pStyle w:val="Corpotesto"/>
        <w:spacing w:before="9"/>
        <w:jc w:val="both"/>
        <w:rPr>
          <w:lang w:val="it-IT"/>
        </w:rPr>
      </w:pPr>
      <w:r w:rsidRPr="005B06AD">
        <w:rPr>
          <w:lang w:val="it-IT"/>
        </w:rPr>
        <w:t xml:space="preserve">Questi dati sono stati derivati dal World Bank Group (2019). Per stimare il </w:t>
      </w:r>
      <w:r w:rsidR="001B263A" w:rsidRPr="005B06AD">
        <w:rPr>
          <w:lang w:val="it-IT"/>
        </w:rPr>
        <w:t>costo</w:t>
      </w:r>
      <w:r w:rsidRPr="005B06AD">
        <w:rPr>
          <w:lang w:val="it-IT"/>
        </w:rPr>
        <w:t xml:space="preserve"> globale del carbonio, abbiamo utilizzato la media dei </w:t>
      </w:r>
      <w:r w:rsidR="001B263A" w:rsidRPr="005B06AD">
        <w:rPr>
          <w:lang w:val="it-IT"/>
        </w:rPr>
        <w:t>costi</w:t>
      </w:r>
      <w:r w:rsidRPr="005B06AD">
        <w:rPr>
          <w:lang w:val="it-IT"/>
        </w:rPr>
        <w:t xml:space="preserve"> </w:t>
      </w:r>
      <w:r w:rsidR="001B263A" w:rsidRPr="005B06AD">
        <w:rPr>
          <w:lang w:val="it-IT"/>
        </w:rPr>
        <w:t>n</w:t>
      </w:r>
      <w:r w:rsidRPr="005B06AD">
        <w:rPr>
          <w:lang w:val="it-IT"/>
        </w:rPr>
        <w:t>ei singoli schemi</w:t>
      </w:r>
      <w:r w:rsidR="00F219F6" w:rsidRPr="005B06AD">
        <w:rPr>
          <w:lang w:val="it-IT"/>
        </w:rPr>
        <w:t xml:space="preserve">, </w:t>
      </w:r>
      <w:r w:rsidRPr="005B06AD">
        <w:rPr>
          <w:lang w:val="it-IT"/>
        </w:rPr>
        <w:t>ponderat</w:t>
      </w:r>
      <w:r w:rsidR="00F219F6" w:rsidRPr="005B06AD">
        <w:rPr>
          <w:lang w:val="it-IT"/>
        </w:rPr>
        <w:t>a sulla</w:t>
      </w:r>
      <w:r w:rsidRPr="005B06AD">
        <w:rPr>
          <w:lang w:val="it-IT"/>
        </w:rPr>
        <w:t xml:space="preserve"> percentuale di emissioni di gas serra copert</w:t>
      </w:r>
      <w:r w:rsidR="00F219F6" w:rsidRPr="005B06AD">
        <w:rPr>
          <w:lang w:val="it-IT"/>
        </w:rPr>
        <w:t>a</w:t>
      </w:r>
      <w:r w:rsidRPr="005B06AD">
        <w:rPr>
          <w:lang w:val="it-IT"/>
        </w:rPr>
        <w:t xml:space="preserve"> da ciascun schema. Quando più schemi coprivano le stesse emissioni, le emissioni sono state associate </w:t>
      </w:r>
      <w:r w:rsidR="00F219F6" w:rsidRPr="005B06AD">
        <w:rPr>
          <w:lang w:val="it-IT"/>
        </w:rPr>
        <w:t>a quello più vecchio</w:t>
      </w:r>
      <w:r w:rsidRPr="005B06AD">
        <w:rPr>
          <w:lang w:val="it-IT"/>
        </w:rPr>
        <w:t xml:space="preserve">. È stato possibile accedere ai dati utilizzando la Dashboard sui prezzi del carbonio. </w:t>
      </w:r>
      <w:r w:rsidR="00F219F6" w:rsidRPr="005B06AD">
        <w:rPr>
          <w:lang w:val="it-IT"/>
        </w:rPr>
        <w:t xml:space="preserve">I dati sono stati consultati </w:t>
      </w:r>
      <w:r w:rsidRPr="005B06AD">
        <w:rPr>
          <w:lang w:val="it-IT"/>
        </w:rPr>
        <w:t>il 1</w:t>
      </w:r>
      <w:r w:rsidR="00DB1E83" w:rsidRPr="005B06AD">
        <w:rPr>
          <w:lang w:val="it-IT"/>
        </w:rPr>
        <w:t>°A</w:t>
      </w:r>
      <w:r w:rsidRPr="005B06AD">
        <w:rPr>
          <w:lang w:val="it-IT"/>
        </w:rPr>
        <w:t>prile 2019.</w:t>
      </w:r>
    </w:p>
    <w:p w14:paraId="46B9EC80" w14:textId="77777777" w:rsidR="00AF7364" w:rsidRPr="005B06AD" w:rsidRDefault="00AF7364" w:rsidP="00F767EA">
      <w:pPr>
        <w:pStyle w:val="Corpotesto"/>
        <w:spacing w:before="9"/>
        <w:jc w:val="both"/>
        <w:rPr>
          <w:lang w:val="it-IT"/>
        </w:rPr>
      </w:pPr>
    </w:p>
    <w:p w14:paraId="65B2B61A" w14:textId="77777777" w:rsidR="00AF7364" w:rsidRPr="005B06AD" w:rsidRDefault="00AF7364" w:rsidP="00F767EA">
      <w:pPr>
        <w:pStyle w:val="Corpotesto"/>
        <w:spacing w:before="9"/>
        <w:jc w:val="both"/>
        <w:rPr>
          <w:u w:val="single"/>
          <w:lang w:val="it-IT"/>
        </w:rPr>
      </w:pPr>
      <w:r w:rsidRPr="005B06AD">
        <w:rPr>
          <w:u w:val="single"/>
          <w:lang w:val="it-IT"/>
        </w:rPr>
        <w:t>Sovvenzioni ai combustibili fossili (Figura 1o)</w:t>
      </w:r>
    </w:p>
    <w:p w14:paraId="298B5B26" w14:textId="77777777" w:rsidR="00D75C4C" w:rsidRPr="005B06AD" w:rsidRDefault="00AF7364" w:rsidP="00F767EA">
      <w:pPr>
        <w:pStyle w:val="Corpotesto"/>
        <w:spacing w:before="9"/>
        <w:jc w:val="both"/>
        <w:rPr>
          <w:lang w:val="it-IT"/>
        </w:rPr>
      </w:pPr>
      <w:r w:rsidRPr="005B06AD">
        <w:rPr>
          <w:lang w:val="it-IT"/>
        </w:rPr>
        <w:t>Abbiamo ottenuto dati sui sussidi ai combustibili fossili dall'Agenzia internazionale dell'energia (2019a).</w:t>
      </w:r>
      <w:r w:rsidR="00D75C4C" w:rsidRPr="005B06AD">
        <w:rPr>
          <w:lang w:val="it-IT"/>
        </w:rPr>
        <w:t xml:space="preserve"> </w:t>
      </w:r>
    </w:p>
    <w:p w14:paraId="61936C12" w14:textId="0FCDCEEF" w:rsidR="002E0F7F" w:rsidRPr="005B06AD" w:rsidRDefault="00AF7364" w:rsidP="00F767EA">
      <w:pPr>
        <w:pStyle w:val="Corpotesto"/>
        <w:spacing w:before="9"/>
        <w:jc w:val="both"/>
        <w:rPr>
          <w:lang w:val="it-IT"/>
        </w:rPr>
      </w:pPr>
      <w:r w:rsidRPr="005B06AD">
        <w:rPr>
          <w:lang w:val="it-IT"/>
        </w:rPr>
        <w:t>I sussidi per il consumo di combustibili fossili sono totali globali in miliardi di dollari USA</w:t>
      </w:r>
      <w:r w:rsidR="00D75C4C" w:rsidRPr="005B06AD">
        <w:rPr>
          <w:lang w:val="it-IT"/>
        </w:rPr>
        <w:t xml:space="preserve"> del 2018</w:t>
      </w:r>
      <w:r w:rsidRPr="005B06AD">
        <w:rPr>
          <w:lang w:val="it-IT"/>
        </w:rPr>
        <w:t>. Coprono petrolio, elettricità, gas naturale e carbone. I valori d</w:t>
      </w:r>
      <w:r w:rsidR="00D75C4C" w:rsidRPr="005B06AD">
        <w:rPr>
          <w:lang w:val="it-IT"/>
        </w:rPr>
        <w:t>ei sussidi</w:t>
      </w:r>
      <w:r w:rsidRPr="005B06AD">
        <w:rPr>
          <w:lang w:val="it-IT"/>
        </w:rPr>
        <w:t xml:space="preserve"> sono stimati utilizzando l'approccio </w:t>
      </w:r>
      <w:r w:rsidR="00E6540E" w:rsidRPr="005B06AD">
        <w:rPr>
          <w:lang w:val="it-IT"/>
        </w:rPr>
        <w:t>del differenziale</w:t>
      </w:r>
      <w:r w:rsidRPr="005B06AD">
        <w:rPr>
          <w:lang w:val="it-IT"/>
        </w:rPr>
        <w:t xml:space="preserve"> di prezzo, che prevede il confronto tra i "prezzi medi per </w:t>
      </w:r>
      <w:r w:rsidR="00E6540E" w:rsidRPr="005B06AD">
        <w:rPr>
          <w:lang w:val="it-IT"/>
        </w:rPr>
        <w:t>l’</w:t>
      </w:r>
      <w:r w:rsidRPr="005B06AD">
        <w:rPr>
          <w:lang w:val="it-IT"/>
        </w:rPr>
        <w:t xml:space="preserve">utente finale pagati dai consumatori </w:t>
      </w:r>
      <w:r w:rsidR="00D75C4C" w:rsidRPr="005B06AD">
        <w:rPr>
          <w:lang w:val="it-IT"/>
        </w:rPr>
        <w:t>e</w:t>
      </w:r>
      <w:r w:rsidRPr="005B06AD">
        <w:rPr>
          <w:lang w:val="it-IT"/>
        </w:rPr>
        <w:t xml:space="preserve"> i prezzi di riferimento che corrispondono al costo totale dell'offerta" (Agenzia internazionale dell'energia 2019b). L'importo </w:t>
      </w:r>
      <w:r w:rsidR="00E6540E" w:rsidRPr="005B06AD">
        <w:rPr>
          <w:lang w:val="it-IT"/>
        </w:rPr>
        <w:t>del sussidio</w:t>
      </w:r>
      <w:r w:rsidRPr="005B06AD">
        <w:rPr>
          <w:lang w:val="it-IT"/>
        </w:rPr>
        <w:t xml:space="preserve"> è uguale al prodotto </w:t>
      </w:r>
      <w:r w:rsidR="00E6540E" w:rsidRPr="005B06AD">
        <w:rPr>
          <w:lang w:val="it-IT"/>
        </w:rPr>
        <w:t>del differenziale</w:t>
      </w:r>
      <w:r w:rsidRPr="005B06AD">
        <w:rPr>
          <w:lang w:val="it-IT"/>
        </w:rPr>
        <w:t xml:space="preserve"> di prezzo e </w:t>
      </w:r>
      <w:r w:rsidR="00D75C4C" w:rsidRPr="005B06AD">
        <w:rPr>
          <w:lang w:val="it-IT"/>
        </w:rPr>
        <w:t>de</w:t>
      </w:r>
      <w:r w:rsidRPr="005B06AD">
        <w:rPr>
          <w:lang w:val="it-IT"/>
        </w:rPr>
        <w:t>ll</w:t>
      </w:r>
      <w:r w:rsidR="00D75C4C" w:rsidRPr="005B06AD">
        <w:rPr>
          <w:lang w:val="it-IT"/>
        </w:rPr>
        <w:t>a quantità consumata</w:t>
      </w:r>
      <w:r w:rsidRPr="005B06AD">
        <w:rPr>
          <w:lang w:val="it-IT"/>
        </w:rPr>
        <w:t xml:space="preserve"> (International Energy Agency 2019b).</w:t>
      </w:r>
    </w:p>
    <w:p w14:paraId="6FA5C980" w14:textId="77777777" w:rsidR="002E0F7F" w:rsidRPr="005B06AD" w:rsidRDefault="002E0F7F" w:rsidP="00F767EA">
      <w:pPr>
        <w:spacing w:line="259" w:lineRule="auto"/>
        <w:jc w:val="both"/>
        <w:rPr>
          <w:lang w:val="it-IT"/>
        </w:rPr>
        <w:sectPr w:rsidR="002E0F7F" w:rsidRPr="005B06AD">
          <w:pgSz w:w="12240" w:h="15840"/>
          <w:pgMar w:top="1080" w:right="1040" w:bottom="940" w:left="880" w:header="0" w:footer="744" w:gutter="0"/>
          <w:cols w:space="720"/>
        </w:sectPr>
      </w:pPr>
    </w:p>
    <w:p w14:paraId="463020F8" w14:textId="695A1E04" w:rsidR="002E0F7F" w:rsidRPr="005B06AD" w:rsidRDefault="00A01B9E" w:rsidP="00F767EA">
      <w:pPr>
        <w:pStyle w:val="Titolo1"/>
        <w:jc w:val="both"/>
        <w:rPr>
          <w:lang w:val="it-IT"/>
        </w:rPr>
      </w:pPr>
      <w:r w:rsidRPr="005B06AD">
        <w:rPr>
          <w:lang w:val="it-IT"/>
        </w:rPr>
        <w:lastRenderedPageBreak/>
        <w:t>Indicatori di impatti climatici reali</w:t>
      </w:r>
      <w:r w:rsidR="0079706B" w:rsidRPr="005B06AD">
        <w:rPr>
          <w:lang w:val="it-IT"/>
        </w:rPr>
        <w:t xml:space="preserve"> (Figura 2)</w:t>
      </w:r>
    </w:p>
    <w:p w14:paraId="3F6DB278" w14:textId="77777777" w:rsidR="002E0F7F" w:rsidRPr="005B06AD" w:rsidRDefault="002E0F7F" w:rsidP="00F767EA">
      <w:pPr>
        <w:pStyle w:val="Corpotesto"/>
        <w:spacing w:before="3"/>
        <w:ind w:left="0"/>
        <w:jc w:val="both"/>
        <w:rPr>
          <w:b/>
          <w:sz w:val="28"/>
          <w:lang w:val="it-IT"/>
        </w:rPr>
      </w:pPr>
    </w:p>
    <w:p w14:paraId="734E6985" w14:textId="0BD2F502" w:rsidR="00F24C6F" w:rsidRPr="005B06AD" w:rsidRDefault="00F24C6F" w:rsidP="00F767EA">
      <w:pPr>
        <w:pStyle w:val="Corpotesto"/>
        <w:spacing w:before="9"/>
        <w:jc w:val="both"/>
        <w:rPr>
          <w:u w:val="single"/>
          <w:lang w:val="it-IT"/>
        </w:rPr>
      </w:pPr>
      <w:r w:rsidRPr="005B06AD">
        <w:rPr>
          <w:u w:val="single"/>
          <w:lang w:val="it-IT"/>
        </w:rPr>
        <w:t>CO</w:t>
      </w:r>
      <w:r w:rsidRPr="005B06AD">
        <w:rPr>
          <w:u w:val="single"/>
          <w:vertAlign w:val="subscript"/>
          <w:lang w:val="it-IT"/>
        </w:rPr>
        <w:t>2</w:t>
      </w:r>
      <w:r w:rsidRPr="005B06AD">
        <w:rPr>
          <w:u w:val="single"/>
          <w:lang w:val="it-IT"/>
        </w:rPr>
        <w:t xml:space="preserve"> atmosferica (Figura 2a)</w:t>
      </w:r>
    </w:p>
    <w:p w14:paraId="199B086F" w14:textId="44933370" w:rsidR="00F24C6F" w:rsidRPr="005B06AD" w:rsidRDefault="00F24C6F" w:rsidP="00F767EA">
      <w:pPr>
        <w:pStyle w:val="Corpotesto"/>
        <w:spacing w:before="9"/>
        <w:jc w:val="both"/>
        <w:rPr>
          <w:lang w:val="it-IT"/>
        </w:rPr>
      </w:pPr>
      <w:r w:rsidRPr="005B06AD">
        <w:rPr>
          <w:lang w:val="it-IT"/>
        </w:rPr>
        <w:t>Abbiamo ottenuto stime medie globali della concentrazione atmosferica di CO</w:t>
      </w:r>
      <w:r w:rsidRPr="005B06AD">
        <w:rPr>
          <w:vertAlign w:val="subscript"/>
          <w:lang w:val="it-IT"/>
        </w:rPr>
        <w:t>2</w:t>
      </w:r>
      <w:r w:rsidRPr="005B06AD">
        <w:rPr>
          <w:lang w:val="it-IT"/>
        </w:rPr>
        <w:t xml:space="preserve"> dalla rete globale di riferimento sui gas a effetto serra del NOAA (NOAA 2019a). In particolare, abbiamo utilizzato la variabile - Dati medi globali e annui della superficie marina</w:t>
      </w:r>
      <w:r w:rsidR="00DB1E83" w:rsidRPr="005B06AD">
        <w:rPr>
          <w:lang w:val="it-IT"/>
        </w:rPr>
        <w:t xml:space="preserve">. </w:t>
      </w:r>
      <w:r w:rsidRPr="005B06AD">
        <w:rPr>
          <w:lang w:val="it-IT"/>
        </w:rPr>
        <w:t xml:space="preserve">Si basa sui dati raccolti dalla Divisione di monitoraggio globale del NOAA / Earth System </w:t>
      </w:r>
      <w:proofErr w:type="spellStart"/>
      <w:r w:rsidRPr="005B06AD">
        <w:rPr>
          <w:lang w:val="it-IT"/>
        </w:rPr>
        <w:t>Research</w:t>
      </w:r>
      <w:proofErr w:type="spellEnd"/>
      <w:r w:rsidRPr="005B06AD">
        <w:rPr>
          <w:lang w:val="it-IT"/>
        </w:rPr>
        <w:t xml:space="preserve"> </w:t>
      </w:r>
      <w:proofErr w:type="spellStart"/>
      <w:r w:rsidRPr="005B06AD">
        <w:rPr>
          <w:lang w:val="it-IT"/>
        </w:rPr>
        <w:t>Laboratory</w:t>
      </w:r>
      <w:proofErr w:type="spellEnd"/>
      <w:r w:rsidRPr="005B06AD">
        <w:rPr>
          <w:lang w:val="it-IT"/>
        </w:rPr>
        <w:t xml:space="preserve"> utilizzando una rete globale di siti di </w:t>
      </w:r>
      <w:r w:rsidR="00B043BD" w:rsidRPr="005B06AD">
        <w:rPr>
          <w:lang w:val="it-IT"/>
        </w:rPr>
        <w:t>misurazione</w:t>
      </w:r>
      <w:r w:rsidRPr="005B06AD">
        <w:rPr>
          <w:lang w:val="it-IT"/>
        </w:rPr>
        <w:t xml:space="preserve">. Le medie globali sono state stimate dapprima smussando le osservazioni </w:t>
      </w:r>
      <w:r w:rsidR="00B043BD" w:rsidRPr="005B06AD">
        <w:rPr>
          <w:lang w:val="it-IT"/>
        </w:rPr>
        <w:t>per</w:t>
      </w:r>
      <w:r w:rsidRPr="005B06AD">
        <w:rPr>
          <w:lang w:val="it-IT"/>
        </w:rPr>
        <w:t xml:space="preserve"> ciascun sito nel tempo e quindi stimando la relazione tra CO</w:t>
      </w:r>
      <w:r w:rsidRPr="005B06AD">
        <w:rPr>
          <w:vertAlign w:val="subscript"/>
          <w:lang w:val="it-IT"/>
        </w:rPr>
        <w:t>2</w:t>
      </w:r>
      <w:r w:rsidRPr="005B06AD">
        <w:rPr>
          <w:lang w:val="it-IT"/>
        </w:rPr>
        <w:t xml:space="preserve"> atmosferica e latitudine.</w:t>
      </w:r>
    </w:p>
    <w:p w14:paraId="6B9F3960" w14:textId="77777777" w:rsidR="00F24C6F" w:rsidRPr="005B06AD" w:rsidRDefault="00F24C6F" w:rsidP="00F767EA">
      <w:pPr>
        <w:pStyle w:val="Corpotesto"/>
        <w:spacing w:before="9"/>
        <w:jc w:val="both"/>
        <w:rPr>
          <w:lang w:val="it-IT"/>
        </w:rPr>
      </w:pPr>
    </w:p>
    <w:p w14:paraId="56691AC6" w14:textId="77777777" w:rsidR="00F24C6F" w:rsidRPr="005B06AD" w:rsidRDefault="00F24C6F" w:rsidP="00F767EA">
      <w:pPr>
        <w:pStyle w:val="Corpotesto"/>
        <w:spacing w:before="9"/>
        <w:jc w:val="both"/>
        <w:rPr>
          <w:u w:val="single"/>
          <w:lang w:val="it-IT"/>
        </w:rPr>
      </w:pPr>
      <w:r w:rsidRPr="005B06AD">
        <w:rPr>
          <w:u w:val="single"/>
          <w:lang w:val="it-IT"/>
        </w:rPr>
        <w:t>Metano atmosferico (Figura 2b)</w:t>
      </w:r>
    </w:p>
    <w:p w14:paraId="21F4FC83" w14:textId="0B0847C7" w:rsidR="00F24C6F" w:rsidRPr="005B06AD" w:rsidRDefault="00F24C6F" w:rsidP="00F767EA">
      <w:pPr>
        <w:pStyle w:val="Corpotesto"/>
        <w:spacing w:before="9"/>
        <w:jc w:val="both"/>
        <w:rPr>
          <w:lang w:val="it-IT"/>
        </w:rPr>
      </w:pPr>
      <w:r w:rsidRPr="005B06AD">
        <w:rPr>
          <w:lang w:val="it-IT"/>
        </w:rPr>
        <w:t>Abbiamo ottenuto stime annuali medie a scala globale della concentrazione di metano atmosferico (CH</w:t>
      </w:r>
      <w:r w:rsidRPr="005B06AD">
        <w:rPr>
          <w:vertAlign w:val="subscript"/>
          <w:lang w:val="it-IT"/>
        </w:rPr>
        <w:t>4</w:t>
      </w:r>
      <w:r w:rsidRPr="005B06AD">
        <w:rPr>
          <w:lang w:val="it-IT"/>
        </w:rPr>
        <w:t xml:space="preserve">) da NOAA (Ed </w:t>
      </w:r>
      <w:proofErr w:type="spellStart"/>
      <w:r w:rsidRPr="005B06AD">
        <w:rPr>
          <w:lang w:val="it-IT"/>
        </w:rPr>
        <w:t>Dlugokencky</w:t>
      </w:r>
      <w:proofErr w:type="spellEnd"/>
      <w:r w:rsidRPr="005B06AD">
        <w:rPr>
          <w:lang w:val="it-IT"/>
        </w:rPr>
        <w:t>, NOAA/ESRL 2019). Abbiamo utilizzato il set di dati ―Dati medi globali e annui della superficie marina'. Questi dati derivano da misurazioni effettuate in una rete globale di siti di campionamento che sono stati smussati nel tempo e plottati rispetto alla latitudine (</w:t>
      </w:r>
      <w:proofErr w:type="spellStart"/>
      <w:r w:rsidRPr="005B06AD">
        <w:rPr>
          <w:lang w:val="it-IT"/>
        </w:rPr>
        <w:t>Dlugokencky</w:t>
      </w:r>
      <w:proofErr w:type="spellEnd"/>
      <w:r w:rsidRPr="005B06AD">
        <w:rPr>
          <w:lang w:val="it-IT"/>
        </w:rPr>
        <w:t xml:space="preserve"> et al. 1994; </w:t>
      </w:r>
      <w:proofErr w:type="spellStart"/>
      <w:r w:rsidRPr="005B06AD">
        <w:rPr>
          <w:lang w:val="it-IT"/>
        </w:rPr>
        <w:t>Masarie</w:t>
      </w:r>
      <w:proofErr w:type="spellEnd"/>
      <w:r w:rsidRPr="005B06AD">
        <w:rPr>
          <w:lang w:val="it-IT"/>
        </w:rPr>
        <w:t xml:space="preserve"> &amp; </w:t>
      </w:r>
      <w:proofErr w:type="spellStart"/>
      <w:r w:rsidRPr="005B06AD">
        <w:rPr>
          <w:lang w:val="it-IT"/>
        </w:rPr>
        <w:t>Tans</w:t>
      </w:r>
      <w:proofErr w:type="spellEnd"/>
      <w:r w:rsidRPr="005B06AD">
        <w:rPr>
          <w:lang w:val="it-IT"/>
        </w:rPr>
        <w:t xml:space="preserve"> 1995). I dati sono riportati come "frazione </w:t>
      </w:r>
      <w:r w:rsidR="00B043BD" w:rsidRPr="005B06AD">
        <w:rPr>
          <w:lang w:val="it-IT"/>
        </w:rPr>
        <w:t>molare</w:t>
      </w:r>
      <w:r w:rsidRPr="005B06AD">
        <w:rPr>
          <w:lang w:val="it-IT"/>
        </w:rPr>
        <w:t xml:space="preserve"> d'aria secca" (Ed </w:t>
      </w:r>
      <w:proofErr w:type="spellStart"/>
      <w:r w:rsidRPr="005B06AD">
        <w:rPr>
          <w:lang w:val="it-IT"/>
        </w:rPr>
        <w:t>Dlugokencky</w:t>
      </w:r>
      <w:proofErr w:type="spellEnd"/>
      <w:r w:rsidRPr="005B06AD">
        <w:rPr>
          <w:lang w:val="it-IT"/>
        </w:rPr>
        <w:t>, NOAA / ESRL 2019).</w:t>
      </w:r>
    </w:p>
    <w:p w14:paraId="4E88052E" w14:textId="77777777" w:rsidR="00F24C6F" w:rsidRPr="005B06AD" w:rsidRDefault="00F24C6F" w:rsidP="00F767EA">
      <w:pPr>
        <w:pStyle w:val="Corpotesto"/>
        <w:spacing w:before="9"/>
        <w:jc w:val="both"/>
        <w:rPr>
          <w:lang w:val="it-IT"/>
        </w:rPr>
      </w:pPr>
    </w:p>
    <w:p w14:paraId="533B9C83" w14:textId="5E29222F" w:rsidR="00F24C6F" w:rsidRPr="005B06AD" w:rsidRDefault="00EC6345" w:rsidP="00F767EA">
      <w:pPr>
        <w:pStyle w:val="Corpotesto"/>
        <w:spacing w:before="9"/>
        <w:jc w:val="both"/>
        <w:rPr>
          <w:u w:val="single"/>
          <w:lang w:val="it-IT"/>
        </w:rPr>
      </w:pPr>
      <w:r w:rsidRPr="005B06AD">
        <w:rPr>
          <w:u w:val="single"/>
          <w:lang w:val="it-IT"/>
        </w:rPr>
        <w:t>Prot</w:t>
      </w:r>
      <w:r w:rsidR="00DB1E83" w:rsidRPr="005B06AD">
        <w:rPr>
          <w:u w:val="single"/>
          <w:lang w:val="it-IT"/>
        </w:rPr>
        <w:t>o</w:t>
      </w:r>
      <w:r w:rsidR="00F24C6F" w:rsidRPr="005B06AD">
        <w:rPr>
          <w:u w:val="single"/>
          <w:lang w:val="it-IT"/>
        </w:rPr>
        <w:t>ssido d’azoto atmosferico (Figura 2c)</w:t>
      </w:r>
    </w:p>
    <w:p w14:paraId="095BEAAB" w14:textId="5CDE217E" w:rsidR="00F24C6F" w:rsidRPr="005B06AD" w:rsidRDefault="00F24C6F" w:rsidP="00F767EA">
      <w:pPr>
        <w:pStyle w:val="Corpotesto"/>
        <w:spacing w:before="9"/>
        <w:jc w:val="both"/>
        <w:rPr>
          <w:lang w:val="it-IT"/>
        </w:rPr>
      </w:pPr>
      <w:r w:rsidRPr="005B06AD">
        <w:rPr>
          <w:lang w:val="it-IT"/>
        </w:rPr>
        <w:t xml:space="preserve">Abbiamo ottenuto i dati sulla concentrazione di </w:t>
      </w:r>
      <w:r w:rsidR="00EC6345" w:rsidRPr="005B06AD">
        <w:rPr>
          <w:lang w:val="it-IT"/>
        </w:rPr>
        <w:t>prot</w:t>
      </w:r>
      <w:r w:rsidRPr="005B06AD">
        <w:rPr>
          <w:lang w:val="it-IT"/>
        </w:rPr>
        <w:t>ossido d’azoto (N</w:t>
      </w:r>
      <w:r w:rsidRPr="005B06AD">
        <w:rPr>
          <w:vertAlign w:val="subscript"/>
          <w:lang w:val="it-IT"/>
        </w:rPr>
        <w:t>2</w:t>
      </w:r>
      <w:r w:rsidRPr="005B06AD">
        <w:rPr>
          <w:lang w:val="it-IT"/>
        </w:rPr>
        <w:t xml:space="preserve">O) dalla Divisione di monitoraggio globale NOAA / ESRL ("Dati di </w:t>
      </w:r>
      <w:r w:rsidR="00EC6345" w:rsidRPr="005B06AD">
        <w:rPr>
          <w:lang w:val="it-IT"/>
        </w:rPr>
        <w:t>prot</w:t>
      </w:r>
      <w:r w:rsidRPr="005B06AD">
        <w:rPr>
          <w:lang w:val="it-IT"/>
        </w:rPr>
        <w:t>ossido di azoto combinato dalla Divisione di monitoraggio globale NOAA / ESRL") (Divisione di monitoraggio globale NOAA/ESRL 2019). Abbiamo utilizzato le stime medie mensili globali (misurate in parti per miliardo). Come indicato nella loro descrizione, il set di dati è una media ponderata delle stime dei programmi di misurazione NOAA/ESRL/GMD.</w:t>
      </w:r>
    </w:p>
    <w:p w14:paraId="2646646F" w14:textId="77777777" w:rsidR="00F24C6F" w:rsidRPr="005B06AD" w:rsidRDefault="00F24C6F" w:rsidP="00F767EA">
      <w:pPr>
        <w:pStyle w:val="Corpotesto"/>
        <w:spacing w:before="9"/>
        <w:jc w:val="both"/>
        <w:rPr>
          <w:lang w:val="it-IT"/>
        </w:rPr>
      </w:pPr>
    </w:p>
    <w:p w14:paraId="7587C6A5" w14:textId="2AD9842B" w:rsidR="00F24C6F" w:rsidRPr="005B06AD" w:rsidRDefault="00E53ACB" w:rsidP="00F767EA">
      <w:pPr>
        <w:pStyle w:val="Corpotesto"/>
        <w:spacing w:before="9"/>
        <w:jc w:val="both"/>
        <w:rPr>
          <w:u w:val="single"/>
          <w:lang w:val="it-IT"/>
        </w:rPr>
      </w:pPr>
      <w:r w:rsidRPr="005B06AD">
        <w:rPr>
          <w:u w:val="single"/>
          <w:lang w:val="it-IT"/>
        </w:rPr>
        <w:t>Anomalia</w:t>
      </w:r>
      <w:r w:rsidR="00F24C6F" w:rsidRPr="005B06AD">
        <w:rPr>
          <w:u w:val="single"/>
          <w:lang w:val="it-IT"/>
        </w:rPr>
        <w:t xml:space="preserve"> della temperatura superficiale (Figura 2d)</w:t>
      </w:r>
    </w:p>
    <w:p w14:paraId="4E8D77CF" w14:textId="0766CCE9" w:rsidR="00F24C6F" w:rsidRPr="005B06AD" w:rsidRDefault="00F24C6F" w:rsidP="00F767EA">
      <w:pPr>
        <w:pStyle w:val="Corpotesto"/>
        <w:spacing w:before="9"/>
        <w:jc w:val="both"/>
        <w:rPr>
          <w:lang w:val="it-IT"/>
        </w:rPr>
      </w:pPr>
      <w:r w:rsidRPr="005B06AD">
        <w:rPr>
          <w:lang w:val="it-IT"/>
        </w:rPr>
        <w:t xml:space="preserve">Abbiamo ottenuto i dati globali sull'anomalia della temperatura superficiale </w:t>
      </w:r>
      <w:r w:rsidR="00E53ACB" w:rsidRPr="005B06AD">
        <w:rPr>
          <w:lang w:val="it-IT"/>
        </w:rPr>
        <w:t>da</w:t>
      </w:r>
      <w:r w:rsidRPr="005B06AD">
        <w:rPr>
          <w:lang w:val="it-IT"/>
        </w:rPr>
        <w:t xml:space="preserve"> NASA/GISS (2019). Abbiamo utilizzato la variabile dell'indice annuale non smussato di temperatura terra-oceano. Le stime di anomalia di temperatura </w:t>
      </w:r>
      <w:r w:rsidR="00E53ACB" w:rsidRPr="005B06AD">
        <w:rPr>
          <w:lang w:val="it-IT"/>
        </w:rPr>
        <w:t>sono composte</w:t>
      </w:r>
      <w:r w:rsidRPr="005B06AD">
        <w:rPr>
          <w:lang w:val="it-IT"/>
        </w:rPr>
        <w:t xml:space="preserve"> </w:t>
      </w:r>
      <w:r w:rsidR="00E53ACB" w:rsidRPr="005B06AD">
        <w:rPr>
          <w:lang w:val="it-IT"/>
        </w:rPr>
        <w:t xml:space="preserve">con </w:t>
      </w:r>
      <w:r w:rsidRPr="005B06AD">
        <w:rPr>
          <w:lang w:val="it-IT"/>
        </w:rPr>
        <w:t>le temperature della superficie terrestre e oceanica. Il periodo di riferimento utilizzato per impostare lo zero è la media 1951-1980.</w:t>
      </w:r>
    </w:p>
    <w:p w14:paraId="243A329E" w14:textId="77777777" w:rsidR="00F24C6F" w:rsidRPr="005B06AD" w:rsidRDefault="00F24C6F" w:rsidP="00F767EA">
      <w:pPr>
        <w:pStyle w:val="Corpotesto"/>
        <w:spacing w:before="9"/>
        <w:jc w:val="both"/>
        <w:rPr>
          <w:lang w:val="it-IT"/>
        </w:rPr>
      </w:pPr>
    </w:p>
    <w:p w14:paraId="67B498E2" w14:textId="132A79E6" w:rsidR="00F24C6F" w:rsidRPr="005B06AD" w:rsidRDefault="00663D26" w:rsidP="00F767EA">
      <w:pPr>
        <w:pStyle w:val="Corpotesto"/>
        <w:spacing w:before="9"/>
        <w:jc w:val="both"/>
        <w:rPr>
          <w:u w:val="single"/>
          <w:lang w:val="it-IT"/>
        </w:rPr>
      </w:pPr>
      <w:r w:rsidRPr="005B06AD">
        <w:rPr>
          <w:u w:val="single"/>
          <w:lang w:val="it-IT"/>
        </w:rPr>
        <w:t>Minimo di g</w:t>
      </w:r>
      <w:r w:rsidR="00F24C6F" w:rsidRPr="005B06AD">
        <w:rPr>
          <w:u w:val="single"/>
          <w:lang w:val="it-IT"/>
        </w:rPr>
        <w:t>hiaccio marino artico (Figure 2e)</w:t>
      </w:r>
    </w:p>
    <w:p w14:paraId="7CB20489" w14:textId="77777777" w:rsidR="002E0F7F" w:rsidRPr="005B06AD" w:rsidRDefault="00F24C6F" w:rsidP="00F767EA">
      <w:pPr>
        <w:pStyle w:val="Corpotesto"/>
        <w:spacing w:before="9"/>
        <w:jc w:val="both"/>
        <w:rPr>
          <w:lang w:val="it-IT"/>
        </w:rPr>
      </w:pPr>
      <w:r w:rsidRPr="005B06AD">
        <w:rPr>
          <w:lang w:val="it-IT"/>
        </w:rPr>
        <w:t xml:space="preserve">Abbiamo ottenuto stime </w:t>
      </w:r>
      <w:r w:rsidR="001A065A" w:rsidRPr="005B06AD">
        <w:rPr>
          <w:lang w:val="it-IT"/>
        </w:rPr>
        <w:t>del minimo</w:t>
      </w:r>
      <w:r w:rsidRPr="005B06AD">
        <w:rPr>
          <w:lang w:val="it-IT"/>
        </w:rPr>
        <w:t xml:space="preserve"> del ghiaccio marino artico dalla NASA (2019). Sono derivat</w:t>
      </w:r>
      <w:r w:rsidR="001A065A" w:rsidRPr="005B06AD">
        <w:rPr>
          <w:lang w:val="it-IT"/>
        </w:rPr>
        <w:t xml:space="preserve">e </w:t>
      </w:r>
      <w:r w:rsidRPr="005B06AD">
        <w:rPr>
          <w:lang w:val="it-IT"/>
        </w:rPr>
        <w:t xml:space="preserve">da osservazioni satellitari. Per ogni anno, i dati mostrano l'estensione media del ghiaccio marino artico </w:t>
      </w:r>
      <w:r w:rsidR="001A065A" w:rsidRPr="005B06AD">
        <w:rPr>
          <w:lang w:val="it-IT"/>
        </w:rPr>
        <w:t>ne</w:t>
      </w:r>
      <w:r w:rsidRPr="005B06AD">
        <w:rPr>
          <w:lang w:val="it-IT"/>
        </w:rPr>
        <w:t xml:space="preserve">l mese di settembre, ovvero quando si verifica il minimo annuale. Secondo la NASA (2019), il ghiaccio marino artico raggiunge il suo minimo ogni settembre. Il ghiaccio marino artico di settembre ora sta diminuendo ad un tasso del 12,8 percento per decennio, rispetto alla media del 1981-2010. Il grafico sopra mostra l'estensione media mensile del ghiaccio marino artico ogni settembre dal 1979, derivata da osservazioni satellitari. L'estensione del 2012 è la più bassa </w:t>
      </w:r>
      <w:r w:rsidR="00177988" w:rsidRPr="005B06AD">
        <w:rPr>
          <w:lang w:val="it-IT"/>
        </w:rPr>
        <w:t>di tutta la serie</w:t>
      </w:r>
      <w:r w:rsidRPr="005B06AD">
        <w:rPr>
          <w:lang w:val="it-IT"/>
        </w:rPr>
        <w:t xml:space="preserve"> satellitare.</w:t>
      </w:r>
    </w:p>
    <w:p w14:paraId="3F49069E" w14:textId="77777777" w:rsidR="00177988" w:rsidRPr="005B06AD" w:rsidRDefault="00177988" w:rsidP="00177988">
      <w:pPr>
        <w:pStyle w:val="Corpotesto"/>
        <w:spacing w:before="9"/>
        <w:rPr>
          <w:lang w:val="it-IT"/>
        </w:rPr>
      </w:pPr>
    </w:p>
    <w:p w14:paraId="7B8EF6FE" w14:textId="5464EF9C" w:rsidR="00177988" w:rsidRPr="005B06AD" w:rsidRDefault="00177988" w:rsidP="00177988">
      <w:pPr>
        <w:pStyle w:val="Corpotesto"/>
        <w:spacing w:before="9"/>
        <w:rPr>
          <w:lang w:val="it-IT"/>
        </w:rPr>
        <w:sectPr w:rsidR="00177988" w:rsidRPr="005B06AD">
          <w:pgSz w:w="12240" w:h="15840"/>
          <w:pgMar w:top="1080" w:right="1040" w:bottom="940" w:left="880" w:header="0" w:footer="744" w:gutter="0"/>
          <w:cols w:space="720"/>
        </w:sectPr>
      </w:pPr>
    </w:p>
    <w:p w14:paraId="12343524" w14:textId="77777777" w:rsidR="00406CC7" w:rsidRPr="005B06AD" w:rsidRDefault="00406CC7" w:rsidP="00F767EA">
      <w:pPr>
        <w:pStyle w:val="Corpotesto"/>
        <w:spacing w:before="9"/>
        <w:jc w:val="both"/>
        <w:rPr>
          <w:u w:val="single"/>
          <w:lang w:val="it-IT"/>
        </w:rPr>
      </w:pPr>
      <w:r w:rsidRPr="005B06AD">
        <w:rPr>
          <w:u w:val="single"/>
          <w:lang w:val="it-IT"/>
        </w:rPr>
        <w:lastRenderedPageBreak/>
        <w:t>Massa glaciale della Groenlandia (Figura 2f)</w:t>
      </w:r>
    </w:p>
    <w:p w14:paraId="04154F39" w14:textId="385384A9" w:rsidR="00406CC7" w:rsidRPr="005B06AD" w:rsidRDefault="00406CC7" w:rsidP="00F767EA">
      <w:pPr>
        <w:pStyle w:val="Corpotesto"/>
        <w:spacing w:before="9"/>
        <w:jc w:val="both"/>
        <w:rPr>
          <w:lang w:val="it-IT"/>
        </w:rPr>
      </w:pPr>
      <w:r w:rsidRPr="005B06AD">
        <w:rPr>
          <w:lang w:val="it-IT"/>
        </w:rPr>
        <w:t xml:space="preserve">Abbiamo ottenuto dalla NASA (2019) misurazioni sul cambiamento della massa totale del ghiaccio terrestre in Groenlandia. Questi dati mostrano i cambiamenti nella massa della calotta glaciale (in </w:t>
      </w:r>
      <w:r w:rsidR="00416D71" w:rsidRPr="005B06AD">
        <w:rPr>
          <w:lang w:val="it-IT"/>
        </w:rPr>
        <w:t xml:space="preserve">miliardi di </w:t>
      </w:r>
      <w:r w:rsidRPr="005B06AD">
        <w:rPr>
          <w:lang w:val="it-IT"/>
        </w:rPr>
        <w:t>t) dall'aprile 2002. Provengono dai satelliti GRACE della NASA. Secondo la NASA (2019), la calotta glaciale della Groenlandia ha "</w:t>
      </w:r>
      <w:r w:rsidR="00DF1BBF" w:rsidRPr="005B06AD">
        <w:rPr>
          <w:lang w:val="it-IT"/>
        </w:rPr>
        <w:t>subìto</w:t>
      </w:r>
      <w:r w:rsidRPr="005B06AD">
        <w:rPr>
          <w:lang w:val="it-IT"/>
        </w:rPr>
        <w:t xml:space="preserve"> un'accelerazione della perdita di massa di ghiaccio dal 2009."</w:t>
      </w:r>
    </w:p>
    <w:p w14:paraId="408CF946" w14:textId="77777777" w:rsidR="00406CC7" w:rsidRPr="005B06AD" w:rsidRDefault="00406CC7" w:rsidP="00F767EA">
      <w:pPr>
        <w:pStyle w:val="Corpotesto"/>
        <w:spacing w:before="9"/>
        <w:jc w:val="both"/>
        <w:rPr>
          <w:lang w:val="it-IT"/>
        </w:rPr>
      </w:pPr>
    </w:p>
    <w:p w14:paraId="7B43DBC7" w14:textId="350885F5" w:rsidR="00406CC7" w:rsidRPr="005B06AD" w:rsidRDefault="00406CC7" w:rsidP="00F767EA">
      <w:pPr>
        <w:pStyle w:val="Corpotesto"/>
        <w:spacing w:before="9"/>
        <w:jc w:val="both"/>
        <w:rPr>
          <w:u w:val="single"/>
          <w:lang w:val="it-IT"/>
        </w:rPr>
      </w:pPr>
      <w:r w:rsidRPr="005B06AD">
        <w:rPr>
          <w:u w:val="single"/>
          <w:lang w:val="it-IT"/>
        </w:rPr>
        <w:t xml:space="preserve">Massa </w:t>
      </w:r>
      <w:r w:rsidR="00DF1BBF" w:rsidRPr="005B06AD">
        <w:rPr>
          <w:u w:val="single"/>
          <w:lang w:val="it-IT"/>
        </w:rPr>
        <w:t>glaciale</w:t>
      </w:r>
      <w:r w:rsidRPr="005B06AD">
        <w:rPr>
          <w:u w:val="single"/>
          <w:lang w:val="it-IT"/>
        </w:rPr>
        <w:t xml:space="preserve"> dell'Antartide (Figura 2g)</w:t>
      </w:r>
    </w:p>
    <w:p w14:paraId="17497F7F" w14:textId="70BE9E81" w:rsidR="00406CC7" w:rsidRPr="005B06AD" w:rsidRDefault="00406CC7" w:rsidP="00F767EA">
      <w:pPr>
        <w:pStyle w:val="Corpotesto"/>
        <w:spacing w:before="9"/>
        <w:jc w:val="both"/>
        <w:rPr>
          <w:lang w:val="it-IT"/>
        </w:rPr>
      </w:pPr>
      <w:r w:rsidRPr="005B06AD">
        <w:rPr>
          <w:lang w:val="it-IT"/>
        </w:rPr>
        <w:t xml:space="preserve">Abbiamo ottenuto dalla NASA (2019) misurazioni sul cambiamento della massa totale del ghiaccio terrestre in Antartide. Questi dati mostrano i cambiamenti nella massa della calotta glaciale (in </w:t>
      </w:r>
      <w:r w:rsidR="00DF1BBF" w:rsidRPr="005B06AD">
        <w:rPr>
          <w:lang w:val="it-IT"/>
        </w:rPr>
        <w:t>miliardi di t</w:t>
      </w:r>
      <w:r w:rsidRPr="005B06AD">
        <w:rPr>
          <w:lang w:val="it-IT"/>
        </w:rPr>
        <w:t>) dall'aprile 2002. Provengono dai satelliti GRACE della NASA. Secondo la NASA (2019), la calotta glaciale dell'Antartide ha "</w:t>
      </w:r>
      <w:r w:rsidR="004A0D3C" w:rsidRPr="005B06AD">
        <w:rPr>
          <w:lang w:val="it-IT"/>
        </w:rPr>
        <w:t>subìto</w:t>
      </w:r>
      <w:r w:rsidRPr="005B06AD">
        <w:rPr>
          <w:lang w:val="it-IT"/>
        </w:rPr>
        <w:t xml:space="preserve"> un'accelerazione della perdita di massa di ghiaccio dal 2009."</w:t>
      </w:r>
    </w:p>
    <w:p w14:paraId="79ACDADD" w14:textId="77777777" w:rsidR="00406CC7" w:rsidRPr="005B06AD" w:rsidRDefault="00406CC7" w:rsidP="00F767EA">
      <w:pPr>
        <w:pStyle w:val="Corpotesto"/>
        <w:spacing w:before="9"/>
        <w:jc w:val="both"/>
        <w:rPr>
          <w:lang w:val="it-IT"/>
        </w:rPr>
      </w:pPr>
    </w:p>
    <w:p w14:paraId="7755452C" w14:textId="7F3B32DF" w:rsidR="00406CC7" w:rsidRPr="005B06AD" w:rsidRDefault="00406CC7" w:rsidP="00F767EA">
      <w:pPr>
        <w:pStyle w:val="Corpotesto"/>
        <w:spacing w:before="9"/>
        <w:jc w:val="both"/>
        <w:rPr>
          <w:u w:val="single"/>
          <w:lang w:val="it-IT"/>
        </w:rPr>
      </w:pPr>
      <w:r w:rsidRPr="005B06AD">
        <w:rPr>
          <w:u w:val="single"/>
          <w:lang w:val="it-IT"/>
        </w:rPr>
        <w:t>Variazione dello spessore cumulativo de</w:t>
      </w:r>
      <w:r w:rsidR="00620F73" w:rsidRPr="005B06AD">
        <w:rPr>
          <w:u w:val="single"/>
          <w:lang w:val="it-IT"/>
        </w:rPr>
        <w:t>i</w:t>
      </w:r>
      <w:r w:rsidRPr="005B06AD">
        <w:rPr>
          <w:u w:val="single"/>
          <w:lang w:val="it-IT"/>
        </w:rPr>
        <w:t xml:space="preserve"> ghiacciai (Figura 2h)</w:t>
      </w:r>
    </w:p>
    <w:p w14:paraId="76F7929A" w14:textId="7D14CB04" w:rsidR="00406CC7" w:rsidRPr="005B06AD" w:rsidRDefault="00406CC7" w:rsidP="00F767EA">
      <w:pPr>
        <w:pStyle w:val="Corpotesto"/>
        <w:spacing w:before="9"/>
        <w:jc w:val="both"/>
        <w:rPr>
          <w:lang w:val="it-IT"/>
        </w:rPr>
      </w:pPr>
      <w:r w:rsidRPr="005B06AD">
        <w:rPr>
          <w:lang w:val="it-IT"/>
        </w:rPr>
        <w:t xml:space="preserve">Abbiamo ottenuto i dati cumulativi sul bilancio di massa del ghiacciaio dal World </w:t>
      </w:r>
      <w:proofErr w:type="spellStart"/>
      <w:r w:rsidRPr="005B06AD">
        <w:rPr>
          <w:lang w:val="it-IT"/>
        </w:rPr>
        <w:t>Glacier</w:t>
      </w:r>
      <w:proofErr w:type="spellEnd"/>
      <w:r w:rsidRPr="005B06AD">
        <w:rPr>
          <w:lang w:val="it-IT"/>
        </w:rPr>
        <w:t xml:space="preserve"> Monitoring Service (WGMS 2019). Questi dati sono stati derivati da un database con informazioni sui cambiamenti di massa, volume, ecc. dei singoli ghiacciai nel tempo. Si basano sulla media di un insieme globale di ghiacciai di riferimento e sono misurati rispetto al 1970.</w:t>
      </w:r>
    </w:p>
    <w:p w14:paraId="6BE4B112" w14:textId="2162C546" w:rsidR="00406CC7" w:rsidRPr="005B06AD" w:rsidRDefault="00406CC7" w:rsidP="00F767EA">
      <w:pPr>
        <w:pStyle w:val="Corpotesto"/>
        <w:spacing w:before="9"/>
        <w:jc w:val="both"/>
        <w:rPr>
          <w:lang w:val="it-IT"/>
        </w:rPr>
      </w:pPr>
      <w:r w:rsidRPr="005B06AD">
        <w:rPr>
          <w:lang w:val="it-IT"/>
        </w:rPr>
        <w:t xml:space="preserve">Le unità di misura di questi dati sono metri di acqua </w:t>
      </w:r>
      <w:r w:rsidR="008365CF" w:rsidRPr="005B06AD">
        <w:rPr>
          <w:lang w:val="it-IT"/>
        </w:rPr>
        <w:t xml:space="preserve">dolce </w:t>
      </w:r>
      <w:r w:rsidRPr="005B06AD">
        <w:rPr>
          <w:lang w:val="it-IT"/>
        </w:rPr>
        <w:t xml:space="preserve">equivalente. Secondo il World </w:t>
      </w:r>
      <w:proofErr w:type="spellStart"/>
      <w:r w:rsidRPr="005B06AD">
        <w:rPr>
          <w:lang w:val="it-IT"/>
        </w:rPr>
        <w:t>Glacier</w:t>
      </w:r>
      <w:proofErr w:type="spellEnd"/>
      <w:r w:rsidRPr="005B06AD">
        <w:rPr>
          <w:lang w:val="it-IT"/>
        </w:rPr>
        <w:t xml:space="preserve"> Monitoring Service, ―Un valore di -1,0 [metro equivalente d'acqua] all'anno rappresenta una perdita di massa di 1.000 kg per metro quadrato di ghiaccio o una perdita annuale di spessore del ghiaccio su tutto il ghiacciaio di circa 1,1 m per anno, poiché la densità del ghiaccio è solo 0,9 volte la densità dell'acqua ‖ (WGMS 2019).</w:t>
      </w:r>
    </w:p>
    <w:p w14:paraId="3F69DDCD" w14:textId="77777777" w:rsidR="00406CC7" w:rsidRPr="005B06AD" w:rsidRDefault="00406CC7" w:rsidP="00F767EA">
      <w:pPr>
        <w:pStyle w:val="Corpotesto"/>
        <w:spacing w:before="9"/>
        <w:jc w:val="both"/>
        <w:rPr>
          <w:lang w:val="it-IT"/>
        </w:rPr>
      </w:pPr>
    </w:p>
    <w:p w14:paraId="5B6EC86E" w14:textId="77777777" w:rsidR="00406CC7" w:rsidRPr="005B06AD" w:rsidRDefault="00406CC7" w:rsidP="00F767EA">
      <w:pPr>
        <w:pStyle w:val="Corpotesto"/>
        <w:spacing w:before="9"/>
        <w:jc w:val="both"/>
        <w:rPr>
          <w:u w:val="single"/>
          <w:lang w:val="it-IT"/>
        </w:rPr>
      </w:pPr>
      <w:r w:rsidRPr="005B06AD">
        <w:rPr>
          <w:u w:val="single"/>
          <w:lang w:val="it-IT"/>
        </w:rPr>
        <w:t>Contenuto di calore nell'oceano (Figura 2i)</w:t>
      </w:r>
    </w:p>
    <w:p w14:paraId="1B28923E" w14:textId="661E3CE3" w:rsidR="00406CC7" w:rsidRPr="005B06AD" w:rsidRDefault="00406CC7" w:rsidP="00F767EA">
      <w:pPr>
        <w:pStyle w:val="Corpotesto"/>
        <w:spacing w:before="9"/>
        <w:jc w:val="both"/>
        <w:rPr>
          <w:lang w:val="it-IT"/>
        </w:rPr>
      </w:pPr>
      <w:r w:rsidRPr="005B06AD">
        <w:rPr>
          <w:lang w:val="it-IT"/>
        </w:rPr>
        <w:t>Abbiamo ottenuto i dati sulle serie temporali quinquennali del contenuto di calore dell'oceano dai Centri nazionali di informazione ambientale (NCEI) di NOAA (NOAA 2019b). Questi dati sono in unità di 10</w:t>
      </w:r>
      <w:r w:rsidRPr="005B06AD">
        <w:rPr>
          <w:vertAlign w:val="superscript"/>
          <w:lang w:val="it-IT"/>
        </w:rPr>
        <w:t xml:space="preserve">22 </w:t>
      </w:r>
      <w:r w:rsidRPr="005B06AD">
        <w:rPr>
          <w:lang w:val="it-IT"/>
        </w:rPr>
        <w:t>joule e coprono l’intervallo di profondità 0-2000 m. Il periodo di riferimento è 1955-2006 (</w:t>
      </w:r>
      <w:proofErr w:type="spellStart"/>
      <w:r w:rsidRPr="005B06AD">
        <w:rPr>
          <w:lang w:val="it-IT"/>
        </w:rPr>
        <w:t>Levitus</w:t>
      </w:r>
      <w:proofErr w:type="spellEnd"/>
      <w:r w:rsidRPr="005B06AD">
        <w:rPr>
          <w:lang w:val="it-IT"/>
        </w:rPr>
        <w:t xml:space="preserve"> et al. 2012).</w:t>
      </w:r>
    </w:p>
    <w:p w14:paraId="7E7F1110" w14:textId="77777777" w:rsidR="00406CC7" w:rsidRPr="005B06AD" w:rsidRDefault="00406CC7" w:rsidP="00F767EA">
      <w:pPr>
        <w:pStyle w:val="Corpotesto"/>
        <w:spacing w:before="9"/>
        <w:jc w:val="both"/>
        <w:rPr>
          <w:lang w:val="it-IT"/>
        </w:rPr>
      </w:pPr>
    </w:p>
    <w:p w14:paraId="6BBE8A05" w14:textId="77777777" w:rsidR="00406CC7" w:rsidRPr="005B06AD" w:rsidRDefault="00406CC7" w:rsidP="00F767EA">
      <w:pPr>
        <w:pStyle w:val="Corpotesto"/>
        <w:spacing w:before="9"/>
        <w:jc w:val="both"/>
        <w:rPr>
          <w:u w:val="single"/>
          <w:lang w:val="it-IT"/>
        </w:rPr>
      </w:pPr>
      <w:r w:rsidRPr="005B06AD">
        <w:rPr>
          <w:u w:val="single"/>
          <w:lang w:val="it-IT"/>
        </w:rPr>
        <w:t>Acidità oceanica (Figura 2j)</w:t>
      </w:r>
    </w:p>
    <w:p w14:paraId="0A564959" w14:textId="04BD94D4" w:rsidR="002E0F7F" w:rsidRPr="005B06AD" w:rsidRDefault="00406CC7" w:rsidP="00F767EA">
      <w:pPr>
        <w:pStyle w:val="Corpotesto"/>
        <w:spacing w:before="9"/>
        <w:jc w:val="both"/>
        <w:rPr>
          <w:lang w:val="it-IT"/>
        </w:rPr>
      </w:pPr>
      <w:r w:rsidRPr="005B06AD">
        <w:rPr>
          <w:lang w:val="it-IT"/>
        </w:rPr>
        <w:t xml:space="preserve">Come dato vicariante (proxy) per l'acidità globale degli oceani, abbiamo utilizzato una serie temporale di pH dell'acqua di mare dal </w:t>
      </w:r>
      <w:r w:rsidR="000B1B41" w:rsidRPr="005B06AD">
        <w:rPr>
          <w:lang w:val="it-IT"/>
        </w:rPr>
        <w:t>database sulla</w:t>
      </w:r>
      <w:r w:rsidRPr="005B06AD">
        <w:rPr>
          <w:lang w:val="it-IT"/>
        </w:rPr>
        <w:t xml:space="preserve"> CO</w:t>
      </w:r>
      <w:r w:rsidRPr="005B06AD">
        <w:rPr>
          <w:vertAlign w:val="subscript"/>
          <w:lang w:val="it-IT"/>
        </w:rPr>
        <w:t>2</w:t>
      </w:r>
      <w:r w:rsidRPr="005B06AD">
        <w:rPr>
          <w:lang w:val="it-IT"/>
        </w:rPr>
        <w:t xml:space="preserve"> superficiale delle </w:t>
      </w:r>
      <w:r w:rsidR="000B1B41" w:rsidRPr="005B06AD">
        <w:rPr>
          <w:lang w:val="it-IT"/>
        </w:rPr>
        <w:t xml:space="preserve">Cronologie Oceaniche delle </w:t>
      </w:r>
      <w:r w:rsidRPr="005B06AD">
        <w:rPr>
          <w:lang w:val="it-IT"/>
        </w:rPr>
        <w:t>Hawaii (HOT 2019). Quest</w:t>
      </w:r>
      <w:r w:rsidR="00882D09" w:rsidRPr="005B06AD">
        <w:rPr>
          <w:lang w:val="it-IT"/>
        </w:rPr>
        <w:t>i dati sono stati adattati</w:t>
      </w:r>
      <w:r w:rsidRPr="005B06AD">
        <w:rPr>
          <w:lang w:val="it-IT"/>
        </w:rPr>
        <w:t xml:space="preserve"> da </w:t>
      </w:r>
      <w:proofErr w:type="spellStart"/>
      <w:r w:rsidRPr="005B06AD">
        <w:rPr>
          <w:lang w:val="it-IT"/>
        </w:rPr>
        <w:t>Dore</w:t>
      </w:r>
      <w:proofErr w:type="spellEnd"/>
      <w:r w:rsidRPr="005B06AD">
        <w:rPr>
          <w:lang w:val="it-IT"/>
        </w:rPr>
        <w:t xml:space="preserve"> et al. (2009). I dati sono stati raccolti presso la stazione ALOHA (22° 45'N, 158° 00'</w:t>
      </w:r>
      <w:r w:rsidR="007C24E7" w:rsidRPr="005B06AD">
        <w:rPr>
          <w:lang w:val="it-IT"/>
        </w:rPr>
        <w:t>W</w:t>
      </w:r>
      <w:r w:rsidRPr="005B06AD">
        <w:rPr>
          <w:lang w:val="it-IT"/>
        </w:rPr>
        <w:t>). Abbiamo usato la variabile</w:t>
      </w:r>
      <w:r w:rsidR="00882D09" w:rsidRPr="005B06AD">
        <w:rPr>
          <w:lang w:val="it-IT"/>
        </w:rPr>
        <w:t xml:space="preserve"> </w:t>
      </w:r>
      <w:proofErr w:type="spellStart"/>
      <w:r w:rsidR="00882D09" w:rsidRPr="005B06AD">
        <w:rPr>
          <w:lang w:val="it-IT"/>
        </w:rPr>
        <w:t>pHmeas_insitu</w:t>
      </w:r>
      <w:proofErr w:type="spellEnd"/>
      <w:r w:rsidR="00882D09" w:rsidRPr="005B06AD">
        <w:rPr>
          <w:lang w:val="it-IT"/>
        </w:rPr>
        <w:t xml:space="preserve"> che è descritta come </w:t>
      </w:r>
      <w:r w:rsidR="009942B9" w:rsidRPr="005B06AD">
        <w:rPr>
          <w:lang w:val="it-IT"/>
        </w:rPr>
        <w:t>“</w:t>
      </w:r>
      <w:r w:rsidR="00882D09" w:rsidRPr="005B06AD">
        <w:rPr>
          <w:lang w:val="it-IT"/>
        </w:rPr>
        <w:t xml:space="preserve">la </w:t>
      </w:r>
      <w:r w:rsidRPr="005B06AD">
        <w:rPr>
          <w:lang w:val="it-IT"/>
        </w:rPr>
        <w:t>misura del pH dell'acqua di mare</w:t>
      </w:r>
      <w:r w:rsidR="009942B9" w:rsidRPr="005B06AD">
        <w:rPr>
          <w:lang w:val="it-IT"/>
        </w:rPr>
        <w:t>, corretta per la</w:t>
      </w:r>
      <w:r w:rsidRPr="005B06AD">
        <w:rPr>
          <w:lang w:val="it-IT"/>
        </w:rPr>
        <w:t xml:space="preserve"> temperatura in situ, sulla scala totale (HOT 2019). Per </w:t>
      </w:r>
      <w:r w:rsidR="009942B9" w:rsidRPr="005B06AD">
        <w:rPr>
          <w:lang w:val="it-IT"/>
        </w:rPr>
        <w:t>calcolare</w:t>
      </w:r>
      <w:r w:rsidRPr="005B06AD">
        <w:rPr>
          <w:lang w:val="it-IT"/>
        </w:rPr>
        <w:t xml:space="preserve"> </w:t>
      </w:r>
      <w:r w:rsidR="009942B9" w:rsidRPr="005B06AD">
        <w:rPr>
          <w:lang w:val="it-IT"/>
        </w:rPr>
        <w:t>la</w:t>
      </w:r>
      <w:r w:rsidRPr="005B06AD">
        <w:rPr>
          <w:lang w:val="it-IT"/>
        </w:rPr>
        <w:t xml:space="preserve"> variazione percentuale </w:t>
      </w:r>
      <w:r w:rsidR="009942B9" w:rsidRPr="005B06AD">
        <w:rPr>
          <w:lang w:val="it-IT"/>
        </w:rPr>
        <w:t>di</w:t>
      </w:r>
      <w:r w:rsidRPr="005B06AD">
        <w:rPr>
          <w:lang w:val="it-IT"/>
        </w:rPr>
        <w:t xml:space="preserve"> questa variabile, </w:t>
      </w:r>
      <w:r w:rsidR="00882D09" w:rsidRPr="005B06AD">
        <w:rPr>
          <w:lang w:val="it-IT"/>
        </w:rPr>
        <w:t xml:space="preserve">abbiamo </w:t>
      </w:r>
      <w:r w:rsidR="009942B9" w:rsidRPr="005B06AD">
        <w:rPr>
          <w:lang w:val="it-IT"/>
        </w:rPr>
        <w:t>preliminarmente c</w:t>
      </w:r>
      <w:r w:rsidR="00882D09" w:rsidRPr="005B06AD">
        <w:rPr>
          <w:lang w:val="it-IT"/>
        </w:rPr>
        <w:t xml:space="preserve">onvertito </w:t>
      </w:r>
      <w:r w:rsidR="009942B9" w:rsidRPr="005B06AD">
        <w:rPr>
          <w:lang w:val="it-IT"/>
        </w:rPr>
        <w:t xml:space="preserve">il </w:t>
      </w:r>
      <w:r w:rsidR="00882D09" w:rsidRPr="005B06AD">
        <w:rPr>
          <w:lang w:val="it-IT"/>
        </w:rPr>
        <w:t xml:space="preserve">pH in attività di ioni idrogeno </w:t>
      </w:r>
      <w:r w:rsidR="007C24E7" w:rsidRPr="005B06AD">
        <w:rPr>
          <w:lang w:val="it-IT"/>
        </w:rPr>
        <w:t>(</w:t>
      </w:r>
      <w:proofErr w:type="spellStart"/>
      <w:r w:rsidR="007C24E7" w:rsidRPr="005B06AD">
        <w:rPr>
          <w:lang w:val="it-IT"/>
        </w:rPr>
        <w:t>a</w:t>
      </w:r>
      <w:r w:rsidR="007C24E7" w:rsidRPr="005B06AD">
        <w:rPr>
          <w:vertAlign w:val="subscript"/>
          <w:lang w:val="it-IT"/>
        </w:rPr>
        <w:t>H</w:t>
      </w:r>
      <w:proofErr w:type="spellEnd"/>
      <w:r w:rsidR="007C24E7" w:rsidRPr="005B06AD">
        <w:rPr>
          <w:vertAlign w:val="subscript"/>
          <w:lang w:val="it-IT"/>
        </w:rPr>
        <w:t>+</w:t>
      </w:r>
      <w:r w:rsidR="007C24E7" w:rsidRPr="005B06AD">
        <w:rPr>
          <w:lang w:val="it-IT"/>
        </w:rPr>
        <w:t xml:space="preserve">) usando la formula </w:t>
      </w:r>
      <w:proofErr w:type="spellStart"/>
      <w:r w:rsidR="007C24E7" w:rsidRPr="005B06AD">
        <w:rPr>
          <w:lang w:val="it-IT"/>
        </w:rPr>
        <w:t>a</w:t>
      </w:r>
      <w:r w:rsidR="007C24E7" w:rsidRPr="005B06AD">
        <w:rPr>
          <w:vertAlign w:val="subscript"/>
          <w:lang w:val="it-IT"/>
        </w:rPr>
        <w:t>H</w:t>
      </w:r>
      <w:proofErr w:type="spellEnd"/>
      <w:r w:rsidR="007C24E7" w:rsidRPr="005B06AD">
        <w:rPr>
          <w:vertAlign w:val="subscript"/>
          <w:lang w:val="it-IT"/>
        </w:rPr>
        <w:t>+</w:t>
      </w:r>
      <w:r w:rsidR="007C24E7" w:rsidRPr="005B06AD">
        <w:rPr>
          <w:lang w:val="it-IT"/>
        </w:rPr>
        <w:t>=10</w:t>
      </w:r>
      <w:r w:rsidR="007C24E7" w:rsidRPr="005B06AD">
        <w:rPr>
          <w:vertAlign w:val="superscript"/>
          <w:lang w:val="it-IT"/>
        </w:rPr>
        <w:t>-pH</w:t>
      </w:r>
      <w:r w:rsidR="007C24E7" w:rsidRPr="005B06AD">
        <w:rPr>
          <w:lang w:val="it-IT"/>
        </w:rPr>
        <w:t>.</w:t>
      </w:r>
    </w:p>
    <w:p w14:paraId="33653ABC" w14:textId="77777777" w:rsidR="002E0F7F" w:rsidRPr="005B06AD" w:rsidRDefault="002E0F7F" w:rsidP="00F767EA">
      <w:pPr>
        <w:pStyle w:val="Corpotesto"/>
        <w:spacing w:before="1"/>
        <w:ind w:left="0"/>
        <w:jc w:val="both"/>
        <w:rPr>
          <w:lang w:val="it-IT"/>
        </w:rPr>
      </w:pPr>
    </w:p>
    <w:p w14:paraId="62D41C15" w14:textId="05FF86FF" w:rsidR="00066FE4" w:rsidRPr="005B06AD" w:rsidRDefault="00066FE4" w:rsidP="00F767EA">
      <w:pPr>
        <w:pStyle w:val="Corpotesto"/>
        <w:spacing w:before="1"/>
        <w:jc w:val="both"/>
        <w:rPr>
          <w:u w:val="single"/>
          <w:lang w:val="it-IT"/>
        </w:rPr>
      </w:pPr>
      <w:r w:rsidRPr="005B06AD">
        <w:rPr>
          <w:u w:val="single"/>
          <w:lang w:val="it-IT"/>
        </w:rPr>
        <w:t>Eventi estremi (numero) (Figura 2k)</w:t>
      </w:r>
    </w:p>
    <w:p w14:paraId="7CCFB44F" w14:textId="6116F787" w:rsidR="005F202C" w:rsidRPr="005B06AD" w:rsidRDefault="00066FE4" w:rsidP="00F767EA">
      <w:pPr>
        <w:pStyle w:val="Corpotesto"/>
        <w:spacing w:before="1"/>
        <w:jc w:val="both"/>
        <w:rPr>
          <w:lang w:val="it-IT"/>
        </w:rPr>
      </w:pPr>
      <w:r w:rsidRPr="005B06AD">
        <w:rPr>
          <w:lang w:val="it-IT"/>
        </w:rPr>
        <w:t xml:space="preserve">Questi dati provengono da </w:t>
      </w:r>
      <w:proofErr w:type="spellStart"/>
      <w:r w:rsidRPr="005B06AD">
        <w:rPr>
          <w:lang w:val="it-IT"/>
        </w:rPr>
        <w:t>Munich</w:t>
      </w:r>
      <w:proofErr w:type="spellEnd"/>
      <w:r w:rsidRPr="005B06AD">
        <w:rPr>
          <w:lang w:val="it-IT"/>
        </w:rPr>
        <w:t xml:space="preserve"> </w:t>
      </w:r>
      <w:proofErr w:type="spellStart"/>
      <w:r w:rsidRPr="005B06AD">
        <w:rPr>
          <w:lang w:val="it-IT"/>
        </w:rPr>
        <w:t>Re´s</w:t>
      </w:r>
      <w:proofErr w:type="spellEnd"/>
      <w:r w:rsidRPr="005B06AD">
        <w:rPr>
          <w:lang w:val="it-IT"/>
        </w:rPr>
        <w:t xml:space="preserve"> </w:t>
      </w:r>
      <w:proofErr w:type="spellStart"/>
      <w:r w:rsidRPr="005B06AD">
        <w:rPr>
          <w:lang w:val="it-IT"/>
        </w:rPr>
        <w:t>NatCatSERVICE</w:t>
      </w:r>
      <w:proofErr w:type="spellEnd"/>
      <w:r w:rsidRPr="005B06AD">
        <w:rPr>
          <w:lang w:val="it-IT"/>
        </w:rPr>
        <w:t xml:space="preserve"> (</w:t>
      </w:r>
      <w:proofErr w:type="spellStart"/>
      <w:r w:rsidRPr="005B06AD">
        <w:rPr>
          <w:lang w:val="it-IT"/>
        </w:rPr>
        <w:t>Munich</w:t>
      </w:r>
      <w:proofErr w:type="spellEnd"/>
      <w:r w:rsidRPr="005B06AD">
        <w:rPr>
          <w:lang w:val="it-IT"/>
        </w:rPr>
        <w:t xml:space="preserve"> Re 2019). Gli eventi estremi sono eventi meteorologici, idrologici o climatologici che hanno causato almeno una </w:t>
      </w:r>
      <w:r w:rsidR="002536D2" w:rsidRPr="005B06AD">
        <w:rPr>
          <w:lang w:val="it-IT"/>
        </w:rPr>
        <w:t>vittima</w:t>
      </w:r>
      <w:r w:rsidRPr="005B06AD">
        <w:rPr>
          <w:lang w:val="it-IT"/>
        </w:rPr>
        <w:t xml:space="preserve"> e/</w:t>
      </w:r>
      <w:r w:rsidR="002536D2" w:rsidRPr="005B06AD">
        <w:rPr>
          <w:lang w:val="it-IT"/>
        </w:rPr>
        <w:t>o ha</w:t>
      </w:r>
      <w:r w:rsidR="005F202C" w:rsidRPr="005B06AD">
        <w:rPr>
          <w:lang w:val="it-IT"/>
        </w:rPr>
        <w:t xml:space="preserve"> prodotto perdite normalizzate ≥ 100</w:t>
      </w:r>
      <w:r w:rsidR="002536D2" w:rsidRPr="005B06AD">
        <w:rPr>
          <w:lang w:val="it-IT"/>
        </w:rPr>
        <w:t xml:space="preserve"> 000</w:t>
      </w:r>
      <w:r w:rsidR="005F202C" w:rsidRPr="005B06AD">
        <w:rPr>
          <w:lang w:val="it-IT"/>
        </w:rPr>
        <w:t>, 300</w:t>
      </w:r>
      <w:r w:rsidR="002536D2" w:rsidRPr="005B06AD">
        <w:rPr>
          <w:lang w:val="it-IT"/>
        </w:rPr>
        <w:t xml:space="preserve"> </w:t>
      </w:r>
      <w:proofErr w:type="gramStart"/>
      <w:r w:rsidR="002536D2" w:rsidRPr="005B06AD">
        <w:rPr>
          <w:lang w:val="it-IT"/>
        </w:rPr>
        <w:t xml:space="preserve">000 </w:t>
      </w:r>
      <w:r w:rsidR="005F202C" w:rsidRPr="005B06AD">
        <w:rPr>
          <w:lang w:val="it-IT"/>
        </w:rPr>
        <w:t>,</w:t>
      </w:r>
      <w:proofErr w:type="gramEnd"/>
      <w:r w:rsidR="005F202C" w:rsidRPr="005B06AD">
        <w:rPr>
          <w:lang w:val="it-IT"/>
        </w:rPr>
        <w:t xml:space="preserve"> 1</w:t>
      </w:r>
      <w:r w:rsidR="002536D2" w:rsidRPr="005B06AD">
        <w:rPr>
          <w:lang w:val="it-IT"/>
        </w:rPr>
        <w:t xml:space="preserve"> milione</w:t>
      </w:r>
      <w:r w:rsidR="005F202C" w:rsidRPr="005B06AD">
        <w:rPr>
          <w:lang w:val="it-IT"/>
        </w:rPr>
        <w:t xml:space="preserve"> o 3</w:t>
      </w:r>
      <w:r w:rsidR="002536D2" w:rsidRPr="005B06AD">
        <w:rPr>
          <w:lang w:val="it-IT"/>
        </w:rPr>
        <w:t xml:space="preserve"> milioni di dollari</w:t>
      </w:r>
      <w:r w:rsidR="005F202C" w:rsidRPr="005B06AD">
        <w:rPr>
          <w:lang w:val="it-IT"/>
        </w:rPr>
        <w:t xml:space="preserve"> </w:t>
      </w:r>
      <w:r w:rsidR="002536D2" w:rsidRPr="005B06AD">
        <w:rPr>
          <w:lang w:val="it-IT"/>
        </w:rPr>
        <w:t>USA</w:t>
      </w:r>
      <w:r w:rsidR="005F202C" w:rsidRPr="005B06AD">
        <w:rPr>
          <w:lang w:val="it-IT"/>
        </w:rPr>
        <w:t xml:space="preserve"> (a seconda del gruppo di reddito assegnato dalla Banca Mondiale </w:t>
      </w:r>
      <w:r w:rsidR="00D27756" w:rsidRPr="005B06AD">
        <w:rPr>
          <w:lang w:val="it-IT"/>
        </w:rPr>
        <w:t>al</w:t>
      </w:r>
      <w:r w:rsidR="005F202C" w:rsidRPr="005B06AD">
        <w:rPr>
          <w:lang w:val="it-IT"/>
        </w:rPr>
        <w:t xml:space="preserve"> paese interessato) .L'intero database </w:t>
      </w:r>
      <w:r w:rsidR="00D27756" w:rsidRPr="005B06AD">
        <w:rPr>
          <w:lang w:val="it-IT"/>
        </w:rPr>
        <w:t>contiene</w:t>
      </w:r>
      <w:r w:rsidR="005F202C" w:rsidRPr="005B06AD">
        <w:rPr>
          <w:lang w:val="it-IT"/>
        </w:rPr>
        <w:t xml:space="preserve"> 18</w:t>
      </w:r>
      <w:r w:rsidR="00D27756" w:rsidRPr="005B06AD">
        <w:rPr>
          <w:lang w:val="it-IT"/>
        </w:rPr>
        <w:t xml:space="preserve"> </w:t>
      </w:r>
      <w:r w:rsidR="005F202C" w:rsidRPr="005B06AD">
        <w:rPr>
          <w:lang w:val="it-IT"/>
        </w:rPr>
        <w:t>169 eventi, ma abbiamo escluso gli eventi geofisici, lasciando un totale di 16</w:t>
      </w:r>
      <w:r w:rsidR="00D27756" w:rsidRPr="005B06AD">
        <w:rPr>
          <w:lang w:val="it-IT"/>
        </w:rPr>
        <w:t xml:space="preserve"> </w:t>
      </w:r>
      <w:r w:rsidR="005F202C" w:rsidRPr="005B06AD">
        <w:rPr>
          <w:lang w:val="it-IT"/>
        </w:rPr>
        <w:t>585 eventi. Quest</w:t>
      </w:r>
      <w:r w:rsidR="003C234F" w:rsidRPr="005B06AD">
        <w:rPr>
          <w:lang w:val="it-IT"/>
        </w:rPr>
        <w:t xml:space="preserve">i sono </w:t>
      </w:r>
      <w:r w:rsidR="00D27756" w:rsidRPr="005B06AD">
        <w:rPr>
          <w:lang w:val="it-IT"/>
        </w:rPr>
        <w:t>stati suddivisi</w:t>
      </w:r>
      <w:r w:rsidR="003C234F" w:rsidRPr="005B06AD">
        <w:rPr>
          <w:lang w:val="it-IT"/>
        </w:rPr>
        <w:t xml:space="preserve"> in </w:t>
      </w:r>
      <w:r w:rsidR="005F202C" w:rsidRPr="005B06AD">
        <w:rPr>
          <w:lang w:val="it-IT"/>
        </w:rPr>
        <w:t xml:space="preserve">tre categorie: eventi meteorologici (cicloni tropicali, tempeste extratropicali, ecc.), </w:t>
      </w:r>
      <w:r w:rsidR="003C234F" w:rsidRPr="005B06AD">
        <w:rPr>
          <w:lang w:val="it-IT"/>
        </w:rPr>
        <w:t>e</w:t>
      </w:r>
      <w:r w:rsidR="005F202C" w:rsidRPr="005B06AD">
        <w:rPr>
          <w:lang w:val="it-IT"/>
        </w:rPr>
        <w:t>venti idrologici (</w:t>
      </w:r>
      <w:r w:rsidR="003C234F" w:rsidRPr="005B06AD">
        <w:rPr>
          <w:lang w:val="it-IT"/>
        </w:rPr>
        <w:t>alluv</w:t>
      </w:r>
      <w:r w:rsidR="005F202C" w:rsidRPr="005B06AD">
        <w:rPr>
          <w:lang w:val="it-IT"/>
        </w:rPr>
        <w:t xml:space="preserve">ioni, </w:t>
      </w:r>
      <w:r w:rsidR="00300872" w:rsidRPr="005B06AD">
        <w:rPr>
          <w:lang w:val="it-IT"/>
        </w:rPr>
        <w:t>frane</w:t>
      </w:r>
      <w:r w:rsidR="005F202C" w:rsidRPr="005B06AD">
        <w:rPr>
          <w:lang w:val="it-IT"/>
        </w:rPr>
        <w:t>) ed eventi climatologici (siccità, incendi boschivi, ecc.).</w:t>
      </w:r>
    </w:p>
    <w:p w14:paraId="47453F2C" w14:textId="77777777" w:rsidR="005F202C" w:rsidRPr="005B06AD" w:rsidRDefault="005F202C" w:rsidP="00F767EA">
      <w:pPr>
        <w:pStyle w:val="Corpotesto"/>
        <w:spacing w:before="8"/>
        <w:jc w:val="both"/>
        <w:rPr>
          <w:lang w:val="it-IT"/>
        </w:rPr>
      </w:pPr>
    </w:p>
    <w:p w14:paraId="46955A38" w14:textId="031526E6" w:rsidR="005F202C" w:rsidRPr="005B06AD" w:rsidRDefault="005F202C" w:rsidP="00F767EA">
      <w:pPr>
        <w:pStyle w:val="Corpotesto"/>
        <w:spacing w:before="8"/>
        <w:jc w:val="both"/>
        <w:rPr>
          <w:u w:val="single"/>
          <w:lang w:val="it-IT"/>
        </w:rPr>
      </w:pPr>
      <w:r w:rsidRPr="005B06AD">
        <w:rPr>
          <w:u w:val="single"/>
          <w:lang w:val="it-IT"/>
        </w:rPr>
        <w:t>Eventi estremi (perdite economiche) (Figura 2l)</w:t>
      </w:r>
    </w:p>
    <w:p w14:paraId="6CEEB5AB" w14:textId="0ADE5E16" w:rsidR="005F202C" w:rsidRPr="005B06AD" w:rsidRDefault="005F202C" w:rsidP="00F767EA">
      <w:pPr>
        <w:pStyle w:val="Corpotesto"/>
        <w:spacing w:before="8"/>
        <w:jc w:val="both"/>
        <w:rPr>
          <w:lang w:val="it-IT"/>
        </w:rPr>
      </w:pPr>
      <w:r w:rsidRPr="005B06AD">
        <w:rPr>
          <w:lang w:val="it-IT"/>
        </w:rPr>
        <w:t xml:space="preserve">Questi dati provengono da </w:t>
      </w:r>
      <w:proofErr w:type="spellStart"/>
      <w:r w:rsidRPr="005B06AD">
        <w:rPr>
          <w:lang w:val="it-IT"/>
        </w:rPr>
        <w:t>NatCatSERVICE</w:t>
      </w:r>
      <w:proofErr w:type="spellEnd"/>
      <w:r w:rsidRPr="005B06AD">
        <w:rPr>
          <w:lang w:val="it-IT"/>
        </w:rPr>
        <w:t xml:space="preserve"> di </w:t>
      </w:r>
      <w:proofErr w:type="spellStart"/>
      <w:r w:rsidRPr="005B06AD">
        <w:rPr>
          <w:lang w:val="it-IT"/>
        </w:rPr>
        <w:t>Munich</w:t>
      </w:r>
      <w:proofErr w:type="spellEnd"/>
      <w:r w:rsidRPr="005B06AD">
        <w:rPr>
          <w:lang w:val="it-IT"/>
        </w:rPr>
        <w:t xml:space="preserve"> Re (</w:t>
      </w:r>
      <w:proofErr w:type="spellStart"/>
      <w:r w:rsidRPr="005B06AD">
        <w:rPr>
          <w:lang w:val="it-IT"/>
        </w:rPr>
        <w:t>Munich</w:t>
      </w:r>
      <w:proofErr w:type="spellEnd"/>
      <w:r w:rsidRPr="005B06AD">
        <w:rPr>
          <w:lang w:val="it-IT"/>
        </w:rPr>
        <w:t xml:space="preserve"> Re 2019) come descritto sopra. Le </w:t>
      </w:r>
      <w:r w:rsidRPr="005B06AD">
        <w:rPr>
          <w:lang w:val="it-IT"/>
        </w:rPr>
        <w:lastRenderedPageBreak/>
        <w:t>perdite economiche (</w:t>
      </w:r>
      <w:r w:rsidR="003C234F" w:rsidRPr="005B06AD">
        <w:rPr>
          <w:lang w:val="it-IT"/>
        </w:rPr>
        <w:t>in</w:t>
      </w:r>
      <w:r w:rsidRPr="005B06AD">
        <w:rPr>
          <w:lang w:val="it-IT"/>
        </w:rPr>
        <w:t xml:space="preserve"> </w:t>
      </w:r>
      <w:r w:rsidR="009324D0" w:rsidRPr="005B06AD">
        <w:rPr>
          <w:lang w:val="it-IT"/>
        </w:rPr>
        <w:t>doll</w:t>
      </w:r>
      <w:r w:rsidR="005351BE" w:rsidRPr="005B06AD">
        <w:rPr>
          <w:lang w:val="it-IT"/>
        </w:rPr>
        <w:t>a</w:t>
      </w:r>
      <w:r w:rsidR="009324D0" w:rsidRPr="005B06AD">
        <w:rPr>
          <w:lang w:val="it-IT"/>
        </w:rPr>
        <w:t>ri USA</w:t>
      </w:r>
      <w:r w:rsidR="003C234F" w:rsidRPr="005B06AD">
        <w:rPr>
          <w:lang w:val="it-IT"/>
        </w:rPr>
        <w:t xml:space="preserve"> del 2018</w:t>
      </w:r>
      <w:r w:rsidRPr="005B06AD">
        <w:rPr>
          <w:lang w:val="it-IT"/>
        </w:rPr>
        <w:t>) sono state</w:t>
      </w:r>
      <w:r w:rsidR="009324D0" w:rsidRPr="005B06AD">
        <w:rPr>
          <w:lang w:val="it-IT"/>
        </w:rPr>
        <w:t xml:space="preserve"> corrette per l’inflazione </w:t>
      </w:r>
      <w:r w:rsidRPr="005B06AD">
        <w:rPr>
          <w:lang w:val="it-IT"/>
        </w:rPr>
        <w:t xml:space="preserve">tramite l'indice dei prezzi al consumo specifico per paese e </w:t>
      </w:r>
      <w:r w:rsidR="00447B44" w:rsidRPr="005B06AD">
        <w:rPr>
          <w:lang w:val="it-IT"/>
        </w:rPr>
        <w:t xml:space="preserve">prendendo in </w:t>
      </w:r>
      <w:r w:rsidRPr="005B06AD">
        <w:rPr>
          <w:lang w:val="it-IT"/>
        </w:rPr>
        <w:t xml:space="preserve">considerazione </w:t>
      </w:r>
      <w:r w:rsidR="00447B44" w:rsidRPr="005B06AD">
        <w:rPr>
          <w:lang w:val="it-IT"/>
        </w:rPr>
        <w:t>le</w:t>
      </w:r>
      <w:r w:rsidRPr="005B06AD">
        <w:rPr>
          <w:lang w:val="it-IT"/>
        </w:rPr>
        <w:t xml:space="preserve"> fluttuazioni del tasso di c</w:t>
      </w:r>
      <w:r w:rsidR="003C234F" w:rsidRPr="005B06AD">
        <w:rPr>
          <w:lang w:val="it-IT"/>
        </w:rPr>
        <w:t xml:space="preserve">ambio tra valuta locale e </w:t>
      </w:r>
      <w:r w:rsidR="00447B44" w:rsidRPr="005B06AD">
        <w:rPr>
          <w:lang w:val="it-IT"/>
        </w:rPr>
        <w:t>dollari USA</w:t>
      </w:r>
      <w:r w:rsidRPr="005B06AD">
        <w:rPr>
          <w:lang w:val="it-IT"/>
        </w:rPr>
        <w:t xml:space="preserve"> (</w:t>
      </w:r>
      <w:proofErr w:type="spellStart"/>
      <w:r w:rsidRPr="005B06AD">
        <w:rPr>
          <w:lang w:val="it-IT"/>
        </w:rPr>
        <w:t>Munich</w:t>
      </w:r>
      <w:proofErr w:type="spellEnd"/>
      <w:r w:rsidRPr="005B06AD">
        <w:rPr>
          <w:lang w:val="it-IT"/>
        </w:rPr>
        <w:t xml:space="preserve"> Re 2019).</w:t>
      </w:r>
    </w:p>
    <w:p w14:paraId="1CBC4A53" w14:textId="77777777" w:rsidR="005F202C" w:rsidRPr="005B06AD" w:rsidRDefault="005F202C" w:rsidP="00F767EA">
      <w:pPr>
        <w:pStyle w:val="Corpotesto"/>
        <w:spacing w:before="8"/>
        <w:jc w:val="both"/>
        <w:rPr>
          <w:lang w:val="it-IT"/>
        </w:rPr>
      </w:pPr>
    </w:p>
    <w:p w14:paraId="7E7C0686" w14:textId="77777777" w:rsidR="005F202C" w:rsidRPr="005B06AD" w:rsidRDefault="005F202C" w:rsidP="00F767EA">
      <w:pPr>
        <w:pStyle w:val="Corpotesto"/>
        <w:spacing w:before="8"/>
        <w:jc w:val="both"/>
        <w:rPr>
          <w:u w:val="single"/>
          <w:lang w:val="it-IT"/>
        </w:rPr>
      </w:pPr>
      <w:r w:rsidRPr="005B06AD">
        <w:rPr>
          <w:u w:val="single"/>
          <w:lang w:val="it-IT"/>
        </w:rPr>
        <w:t>Variazione del livello del mare (Figura 2m)</w:t>
      </w:r>
    </w:p>
    <w:p w14:paraId="0A4BA1FF" w14:textId="3EB69EBB" w:rsidR="005F202C" w:rsidRPr="005B06AD" w:rsidRDefault="005F202C" w:rsidP="00F767EA">
      <w:pPr>
        <w:pStyle w:val="Corpotesto"/>
        <w:spacing w:before="8"/>
        <w:jc w:val="both"/>
        <w:rPr>
          <w:lang w:val="it-IT"/>
        </w:rPr>
      </w:pPr>
      <w:r w:rsidRPr="005B06AD">
        <w:rPr>
          <w:lang w:val="it-IT"/>
        </w:rPr>
        <w:t>Abbiamo ottenuto dati sul livello medio globale del mare da GSFC (2017) [</w:t>
      </w:r>
      <w:r w:rsidR="00625FD2" w:rsidRPr="005B06AD">
        <w:rPr>
          <w:lang w:val="it-IT"/>
        </w:rPr>
        <w:t xml:space="preserve">il link è su </w:t>
      </w:r>
      <w:r w:rsidRPr="005B06AD">
        <w:rPr>
          <w:lang w:val="it-IT"/>
        </w:rPr>
        <w:t xml:space="preserve">NASA (2019)]. Come indicato nella descrizione del set di dati, il grafico disponibile su http://climate.nasa.gov si basa sulle altezze </w:t>
      </w:r>
      <w:r w:rsidR="00C45729" w:rsidRPr="005B06AD">
        <w:rPr>
          <w:lang w:val="it-IT"/>
        </w:rPr>
        <w:t>misurate</w:t>
      </w:r>
      <w:r w:rsidR="00625FD2" w:rsidRPr="005B06AD">
        <w:rPr>
          <w:lang w:val="it-IT"/>
        </w:rPr>
        <w:t xml:space="preserve"> r</w:t>
      </w:r>
      <w:r w:rsidRPr="005B06AD">
        <w:rPr>
          <w:lang w:val="it-IT"/>
        </w:rPr>
        <w:t>ispetto al pri</w:t>
      </w:r>
      <w:r w:rsidR="00625FD2" w:rsidRPr="005B06AD">
        <w:rPr>
          <w:lang w:val="it-IT"/>
        </w:rPr>
        <w:t>mo ciclo (gennaio) del 1993. Le</w:t>
      </w:r>
      <w:r w:rsidRPr="005B06AD">
        <w:rPr>
          <w:lang w:val="it-IT"/>
        </w:rPr>
        <w:t xml:space="preserve"> variabil</w:t>
      </w:r>
      <w:r w:rsidR="00625FD2" w:rsidRPr="005B06AD">
        <w:rPr>
          <w:lang w:val="it-IT"/>
        </w:rPr>
        <w:t xml:space="preserve">i </w:t>
      </w:r>
      <w:r w:rsidRPr="005B06AD">
        <w:rPr>
          <w:lang w:val="it-IT"/>
        </w:rPr>
        <w:t xml:space="preserve">che abbiamo usato </w:t>
      </w:r>
      <w:r w:rsidR="00625FD2" w:rsidRPr="005B06AD">
        <w:rPr>
          <w:lang w:val="it-IT"/>
        </w:rPr>
        <w:t>sono state: v</w:t>
      </w:r>
      <w:r w:rsidRPr="005B06AD">
        <w:rPr>
          <w:lang w:val="it-IT"/>
        </w:rPr>
        <w:t xml:space="preserve">ariazione </w:t>
      </w:r>
      <w:r w:rsidR="00625FD2" w:rsidRPr="005B06AD">
        <w:rPr>
          <w:lang w:val="it-IT"/>
        </w:rPr>
        <w:t xml:space="preserve">del </w:t>
      </w:r>
      <w:r w:rsidR="00410522" w:rsidRPr="005B06AD">
        <w:rPr>
          <w:lang w:val="it-IT"/>
        </w:rPr>
        <w:t>livello medio del mare</w:t>
      </w:r>
      <w:r w:rsidR="00625FD2" w:rsidRPr="005B06AD">
        <w:rPr>
          <w:lang w:val="it-IT"/>
        </w:rPr>
        <w:t xml:space="preserve"> (mm) (</w:t>
      </w:r>
      <w:r w:rsidRPr="005B06AD">
        <w:rPr>
          <w:lang w:val="it-IT"/>
        </w:rPr>
        <w:t xml:space="preserve">regolazione isostatica globale (GIA) non applicata) rispetto al riferimento medio collineare TOPEX/Jason </w:t>
      </w:r>
      <w:r w:rsidR="00625FD2" w:rsidRPr="005B06AD">
        <w:rPr>
          <w:lang w:val="it-IT"/>
        </w:rPr>
        <w:t>ventennale</w:t>
      </w:r>
      <w:r w:rsidRPr="005B06AD">
        <w:rPr>
          <w:lang w:val="it-IT"/>
        </w:rPr>
        <w:t xml:space="preserve">.  Secondo la descrizione del set di dati, il riferimento medio </w:t>
      </w:r>
      <w:r w:rsidR="00625FD2" w:rsidRPr="005B06AD">
        <w:rPr>
          <w:lang w:val="it-IT"/>
        </w:rPr>
        <w:t>collineare TEXEX/</w:t>
      </w:r>
      <w:r w:rsidRPr="005B06AD">
        <w:rPr>
          <w:lang w:val="it-IT"/>
        </w:rPr>
        <w:t xml:space="preserve">Jason </w:t>
      </w:r>
      <w:r w:rsidR="00625FD2" w:rsidRPr="005B06AD">
        <w:rPr>
          <w:lang w:val="it-IT"/>
        </w:rPr>
        <w:t>medio ventenn</w:t>
      </w:r>
      <w:r w:rsidRPr="005B06AD">
        <w:rPr>
          <w:lang w:val="it-IT"/>
        </w:rPr>
        <w:t>a</w:t>
      </w:r>
      <w:r w:rsidR="00625FD2" w:rsidRPr="005B06AD">
        <w:rPr>
          <w:lang w:val="it-IT"/>
        </w:rPr>
        <w:t>le</w:t>
      </w:r>
      <w:r w:rsidRPr="005B06AD">
        <w:rPr>
          <w:lang w:val="it-IT"/>
        </w:rPr>
        <w:t xml:space="preserve"> deriva dai cicli </w:t>
      </w:r>
      <w:r w:rsidR="00625FD2" w:rsidRPr="005B06AD">
        <w:rPr>
          <w:lang w:val="it-IT"/>
        </w:rPr>
        <w:t xml:space="preserve">dal </w:t>
      </w:r>
      <w:r w:rsidRPr="005B06AD">
        <w:rPr>
          <w:lang w:val="it-IT"/>
        </w:rPr>
        <w:t>121</w:t>
      </w:r>
      <w:r w:rsidR="00625FD2" w:rsidRPr="005B06AD">
        <w:rPr>
          <w:lang w:val="it-IT"/>
        </w:rPr>
        <w:t xml:space="preserve"> al </w:t>
      </w:r>
      <w:r w:rsidRPr="005B06AD">
        <w:rPr>
          <w:lang w:val="it-IT"/>
        </w:rPr>
        <w:t xml:space="preserve">858, </w:t>
      </w:r>
      <w:r w:rsidR="00625FD2" w:rsidRPr="005B06AD">
        <w:rPr>
          <w:lang w:val="it-IT"/>
        </w:rPr>
        <w:t xml:space="preserve">per gli </w:t>
      </w:r>
      <w:r w:rsidRPr="005B06AD">
        <w:rPr>
          <w:lang w:val="it-IT"/>
        </w:rPr>
        <w:t>anni 1996-2016.</w:t>
      </w:r>
      <w:r w:rsidR="00625FD2" w:rsidRPr="005B06AD">
        <w:rPr>
          <w:lang w:val="it-IT"/>
        </w:rPr>
        <w:t xml:space="preserve"> </w:t>
      </w:r>
      <w:r w:rsidRPr="005B06AD">
        <w:rPr>
          <w:lang w:val="it-IT"/>
        </w:rPr>
        <w:t>Va notato che l'aumento di temperatura e il riscaldamento dell'intero oceano contrib</w:t>
      </w:r>
      <w:r w:rsidR="00625FD2" w:rsidRPr="005B06AD">
        <w:rPr>
          <w:lang w:val="it-IT"/>
        </w:rPr>
        <w:t>uiscono in modo determinante all’</w:t>
      </w:r>
      <w:r w:rsidRPr="005B06AD">
        <w:rPr>
          <w:lang w:val="it-IT"/>
        </w:rPr>
        <w:t xml:space="preserve">aumento </w:t>
      </w:r>
      <w:r w:rsidR="002A357B" w:rsidRPr="005B06AD">
        <w:rPr>
          <w:lang w:val="it-IT"/>
        </w:rPr>
        <w:t>del livello del mare (espansione termica)</w:t>
      </w:r>
      <w:r w:rsidR="00625FD2" w:rsidRPr="005B06AD">
        <w:rPr>
          <w:lang w:val="it-IT"/>
        </w:rPr>
        <w:t xml:space="preserve"> </w:t>
      </w:r>
      <w:r w:rsidRPr="005B06AD">
        <w:rPr>
          <w:lang w:val="it-IT"/>
        </w:rPr>
        <w:t>(WCRP Global Budget Level Sea Group 2018).</w:t>
      </w:r>
    </w:p>
    <w:p w14:paraId="12927A39" w14:textId="77777777" w:rsidR="005F202C" w:rsidRPr="005B06AD" w:rsidRDefault="005F202C" w:rsidP="00F767EA">
      <w:pPr>
        <w:pStyle w:val="Corpotesto"/>
        <w:spacing w:before="8"/>
        <w:jc w:val="both"/>
        <w:rPr>
          <w:lang w:val="it-IT"/>
        </w:rPr>
      </w:pPr>
    </w:p>
    <w:p w14:paraId="1867943B" w14:textId="49FE222A" w:rsidR="005F202C" w:rsidRPr="005B06AD" w:rsidRDefault="005F202C" w:rsidP="00F767EA">
      <w:pPr>
        <w:pStyle w:val="Corpotesto"/>
        <w:spacing w:before="8"/>
        <w:jc w:val="both"/>
        <w:rPr>
          <w:u w:val="single"/>
          <w:lang w:val="it-IT"/>
        </w:rPr>
      </w:pPr>
      <w:r w:rsidRPr="005B06AD">
        <w:rPr>
          <w:u w:val="single"/>
          <w:lang w:val="it-IT"/>
        </w:rPr>
        <w:t xml:space="preserve">Superficie totale </w:t>
      </w:r>
      <w:r w:rsidR="00AE031F" w:rsidRPr="005B06AD">
        <w:rPr>
          <w:u w:val="single"/>
          <w:lang w:val="it-IT"/>
        </w:rPr>
        <w:t>percorsa</w:t>
      </w:r>
      <w:r w:rsidRPr="005B06AD">
        <w:rPr>
          <w:u w:val="single"/>
          <w:lang w:val="it-IT"/>
        </w:rPr>
        <w:t xml:space="preserve"> dagli incendi negli Stati Uniti (Figura 2n)</w:t>
      </w:r>
    </w:p>
    <w:p w14:paraId="3582CADF" w14:textId="3C0477D3" w:rsidR="005F202C" w:rsidRPr="005B06AD" w:rsidRDefault="005F202C" w:rsidP="00F767EA">
      <w:pPr>
        <w:pStyle w:val="Corpotesto"/>
        <w:spacing w:before="8"/>
        <w:jc w:val="both"/>
        <w:rPr>
          <w:lang w:val="it-IT"/>
        </w:rPr>
      </w:pPr>
      <w:r w:rsidRPr="005B06AD">
        <w:rPr>
          <w:lang w:val="it-IT"/>
        </w:rPr>
        <w:t xml:space="preserve">Questi dati provengono dal National </w:t>
      </w:r>
      <w:proofErr w:type="spellStart"/>
      <w:r w:rsidRPr="005B06AD">
        <w:rPr>
          <w:lang w:val="it-IT"/>
        </w:rPr>
        <w:t>Interagency</w:t>
      </w:r>
      <w:proofErr w:type="spellEnd"/>
      <w:r w:rsidRPr="005B06AD">
        <w:rPr>
          <w:lang w:val="it-IT"/>
        </w:rPr>
        <w:t xml:space="preserve"> </w:t>
      </w:r>
      <w:proofErr w:type="spellStart"/>
      <w:r w:rsidRPr="005B06AD">
        <w:rPr>
          <w:lang w:val="it-IT"/>
        </w:rPr>
        <w:t>Coordination</w:t>
      </w:r>
      <w:proofErr w:type="spellEnd"/>
      <w:r w:rsidRPr="005B06AD">
        <w:rPr>
          <w:lang w:val="it-IT"/>
        </w:rPr>
        <w:t xml:space="preserve"> Center presso il National </w:t>
      </w:r>
      <w:proofErr w:type="spellStart"/>
      <w:r w:rsidRPr="005B06AD">
        <w:rPr>
          <w:lang w:val="it-IT"/>
        </w:rPr>
        <w:t>Interagency</w:t>
      </w:r>
      <w:proofErr w:type="spellEnd"/>
      <w:r w:rsidRPr="005B06AD">
        <w:rPr>
          <w:lang w:val="it-IT"/>
        </w:rPr>
        <w:t xml:space="preserve"> </w:t>
      </w:r>
      <w:proofErr w:type="spellStart"/>
      <w:r w:rsidRPr="005B06AD">
        <w:rPr>
          <w:lang w:val="it-IT"/>
        </w:rPr>
        <w:t>Fire</w:t>
      </w:r>
      <w:proofErr w:type="spellEnd"/>
      <w:r w:rsidRPr="005B06AD">
        <w:rPr>
          <w:lang w:val="it-IT"/>
        </w:rPr>
        <w:t xml:space="preserve"> Center (National </w:t>
      </w:r>
      <w:proofErr w:type="spellStart"/>
      <w:r w:rsidRPr="005B06AD">
        <w:rPr>
          <w:lang w:val="it-IT"/>
        </w:rPr>
        <w:t>Interagency</w:t>
      </w:r>
      <w:proofErr w:type="spellEnd"/>
      <w:r w:rsidRPr="005B06AD">
        <w:rPr>
          <w:lang w:val="it-IT"/>
        </w:rPr>
        <w:t xml:space="preserve"> </w:t>
      </w:r>
      <w:proofErr w:type="spellStart"/>
      <w:r w:rsidRPr="005B06AD">
        <w:rPr>
          <w:lang w:val="it-IT"/>
        </w:rPr>
        <w:t>Coordination</w:t>
      </w:r>
      <w:proofErr w:type="spellEnd"/>
      <w:r w:rsidRPr="005B06AD">
        <w:rPr>
          <w:lang w:val="it-IT"/>
        </w:rPr>
        <w:t xml:space="preserve"> Center 2018) e includono Alaska e Hawaii. Sono derivati dalle informazioni pubblicate nei </w:t>
      </w:r>
      <w:r w:rsidR="0037264E" w:rsidRPr="005B06AD">
        <w:rPr>
          <w:lang w:val="it-IT"/>
        </w:rPr>
        <w:t>r</w:t>
      </w:r>
      <w:r w:rsidRPr="005B06AD">
        <w:rPr>
          <w:lang w:val="it-IT"/>
        </w:rPr>
        <w:t xml:space="preserve">apporti </w:t>
      </w:r>
      <w:r w:rsidR="00AE031F" w:rsidRPr="005B06AD">
        <w:rPr>
          <w:lang w:val="it-IT"/>
        </w:rPr>
        <w:t>periodici</w:t>
      </w:r>
      <w:r w:rsidRPr="005B06AD">
        <w:rPr>
          <w:lang w:val="it-IT"/>
        </w:rPr>
        <w:t xml:space="preserve">. Poiché le fonti delle </w:t>
      </w:r>
      <w:r w:rsidR="0037264E" w:rsidRPr="005B06AD">
        <w:rPr>
          <w:lang w:val="it-IT"/>
        </w:rPr>
        <w:t>f</w:t>
      </w:r>
      <w:r w:rsidRPr="005B06AD">
        <w:rPr>
          <w:lang w:val="it-IT"/>
        </w:rPr>
        <w:t>igur</w:t>
      </w:r>
      <w:r w:rsidR="0037264E" w:rsidRPr="005B06AD">
        <w:rPr>
          <w:lang w:val="it-IT"/>
        </w:rPr>
        <w:t>e</w:t>
      </w:r>
      <w:r w:rsidRPr="005B06AD">
        <w:rPr>
          <w:lang w:val="it-IT"/>
        </w:rPr>
        <w:t xml:space="preserve"> sono sconosciute prima del 1983, abbiamo omesso i dati prima del 1983. Il totale per il 2004 non include </w:t>
      </w:r>
      <w:r w:rsidR="007D1E2E" w:rsidRPr="005B06AD">
        <w:rPr>
          <w:lang w:val="it-IT"/>
        </w:rPr>
        <w:t>le proprietà</w:t>
      </w:r>
      <w:r w:rsidRPr="005B06AD">
        <w:rPr>
          <w:lang w:val="it-IT"/>
        </w:rPr>
        <w:t xml:space="preserve"> statali </w:t>
      </w:r>
      <w:r w:rsidR="007D1E2E" w:rsidRPr="005B06AD">
        <w:rPr>
          <w:lang w:val="it-IT"/>
        </w:rPr>
        <w:t>in</w:t>
      </w:r>
      <w:r w:rsidRPr="005B06AD">
        <w:rPr>
          <w:lang w:val="it-IT"/>
        </w:rPr>
        <w:t xml:space="preserve"> Carolina del Nord.</w:t>
      </w:r>
    </w:p>
    <w:p w14:paraId="6B29F762" w14:textId="77777777" w:rsidR="002E0F7F" w:rsidRPr="005B06AD" w:rsidRDefault="002E0F7F" w:rsidP="00F767EA">
      <w:pPr>
        <w:pStyle w:val="Corpotesto"/>
        <w:ind w:left="0"/>
        <w:jc w:val="both"/>
        <w:rPr>
          <w:sz w:val="26"/>
          <w:lang w:val="it-IT"/>
        </w:rPr>
      </w:pPr>
    </w:p>
    <w:p w14:paraId="44045A8B" w14:textId="5EB41316" w:rsidR="002E0F7F" w:rsidRPr="005B06AD" w:rsidRDefault="009B077F" w:rsidP="00F767EA">
      <w:pPr>
        <w:pStyle w:val="Titolo2"/>
        <w:spacing w:before="0"/>
        <w:jc w:val="both"/>
      </w:pPr>
      <w:bookmarkStart w:id="3" w:name="_TOC_250000"/>
      <w:bookmarkEnd w:id="3"/>
      <w:proofErr w:type="spellStart"/>
      <w:r w:rsidRPr="005B06AD">
        <w:t>Bibliografia</w:t>
      </w:r>
      <w:proofErr w:type="spellEnd"/>
      <w:r w:rsidR="0037264E" w:rsidRPr="005B06AD">
        <w:t xml:space="preserve"> </w:t>
      </w:r>
      <w:proofErr w:type="spellStart"/>
      <w:r w:rsidR="0037264E" w:rsidRPr="005B06AD">
        <w:t>supplementar</w:t>
      </w:r>
      <w:r w:rsidRPr="005B06AD">
        <w:t>e</w:t>
      </w:r>
      <w:proofErr w:type="spellEnd"/>
    </w:p>
    <w:p w14:paraId="76126EB8" w14:textId="77777777" w:rsidR="002E0F7F" w:rsidRPr="005B06AD" w:rsidRDefault="002E0F7F" w:rsidP="00F767EA">
      <w:pPr>
        <w:pStyle w:val="Corpotesto"/>
        <w:spacing w:before="3"/>
        <w:ind w:left="0"/>
        <w:jc w:val="both"/>
        <w:rPr>
          <w:b/>
          <w:sz w:val="29"/>
        </w:rPr>
      </w:pPr>
    </w:p>
    <w:p w14:paraId="3C2E7C16" w14:textId="77777777" w:rsidR="002E0F7F" w:rsidRPr="005B06AD" w:rsidRDefault="0079706B" w:rsidP="00F767EA">
      <w:pPr>
        <w:pStyle w:val="Corpotesto"/>
        <w:ind w:left="848" w:hanging="720"/>
        <w:jc w:val="both"/>
      </w:pPr>
      <w:r w:rsidRPr="005B06AD">
        <w:t>350.org. 2019. Divestment Database 2.0. Available from https://docs.google.com/spreadsheets/d/1AWTXvHOoB4A9rqOF4Ld8czsQMdGHHjqarO9ahW CZ4UI/ (accessed August 30, 2019).</w:t>
      </w:r>
    </w:p>
    <w:p w14:paraId="5E5B198E" w14:textId="77777777" w:rsidR="002E0F7F" w:rsidRPr="005B06AD" w:rsidRDefault="0079706B" w:rsidP="00F767EA">
      <w:pPr>
        <w:pStyle w:val="Corpotesto"/>
        <w:ind w:left="848" w:right="792" w:hanging="720"/>
        <w:jc w:val="both"/>
      </w:pPr>
      <w:r w:rsidRPr="005B06AD">
        <w:t>Amigo I. 2019, August 21. Amazon rainforest fires leave São Paulo in the dark. Available from https://news.mongabay.com/2019/08/amazon-rainforest-fires-leave-sao-paulo-in-the-dark/ (accessed August 26, 2019).</w:t>
      </w:r>
    </w:p>
    <w:p w14:paraId="67F033F3" w14:textId="77777777" w:rsidR="002E0F7F" w:rsidRPr="005B06AD" w:rsidRDefault="0079706B" w:rsidP="00F767EA">
      <w:pPr>
        <w:pStyle w:val="Corpotesto"/>
        <w:jc w:val="both"/>
      </w:pPr>
      <w:r w:rsidRPr="005B06AD">
        <w:t>British Petroleum Company. 2019. BP statistical review of world energy. British Petroleum Company.</w:t>
      </w:r>
    </w:p>
    <w:p w14:paraId="0505E98B" w14:textId="77777777" w:rsidR="002E0F7F" w:rsidRPr="005B06AD" w:rsidRDefault="0079706B" w:rsidP="00F767EA">
      <w:pPr>
        <w:pStyle w:val="Corpotesto"/>
        <w:ind w:left="848" w:right="498"/>
        <w:jc w:val="both"/>
      </w:pPr>
      <w:r w:rsidRPr="005B06AD">
        <w:t xml:space="preserve">Available from </w:t>
      </w:r>
      <w:hyperlink r:id="rId16">
        <w:r w:rsidRPr="005B06AD">
          <w:t>https://www.bp.co</w:t>
        </w:r>
      </w:hyperlink>
      <w:r w:rsidRPr="005B06AD">
        <w:t>m/</w:t>
      </w:r>
      <w:hyperlink r:id="rId17">
        <w:r w:rsidRPr="005B06AD">
          <w:t>content/dam/bp/bus</w:t>
        </w:r>
      </w:hyperlink>
      <w:r w:rsidRPr="005B06AD">
        <w:t>in</w:t>
      </w:r>
      <w:hyperlink r:id="rId18">
        <w:r w:rsidRPr="005B06AD">
          <w:t>ess</w:t>
        </w:r>
      </w:hyperlink>
      <w:r w:rsidRPr="005B06AD">
        <w:t>- sites/en/global/corporate/pdfs/energy-economics/statistical-review/bp-stats-review-2019-full- report.pdf.</w:t>
      </w:r>
    </w:p>
    <w:p w14:paraId="4EDD1B10" w14:textId="03277C6B" w:rsidR="002E0F7F" w:rsidRPr="005B06AD" w:rsidRDefault="0079706B" w:rsidP="00F767EA">
      <w:pPr>
        <w:pStyle w:val="Corpotesto"/>
        <w:ind w:left="848" w:right="247" w:hanging="720"/>
        <w:jc w:val="both"/>
      </w:pPr>
      <w:r w:rsidRPr="005B06AD">
        <w:t>Butler RA. 2017, January 26. Calculating Deforestation Figur</w:t>
      </w:r>
      <w:r w:rsidR="0037264E" w:rsidRPr="005B06AD">
        <w:t>e</w:t>
      </w:r>
      <w:r w:rsidRPr="005B06AD">
        <w:t>s for the Amazon. Available from https://rainforests.mongabay.com/amazon/deforestation_calculations.html (accessed August 26, 2019).</w:t>
      </w:r>
    </w:p>
    <w:p w14:paraId="13641D0A" w14:textId="77777777" w:rsidR="002E0F7F" w:rsidRPr="005B06AD" w:rsidRDefault="002E0F7F" w:rsidP="00F767EA">
      <w:pPr>
        <w:jc w:val="both"/>
        <w:sectPr w:rsidR="002E0F7F" w:rsidRPr="005B06AD">
          <w:pgSz w:w="12240" w:h="15840"/>
          <w:pgMar w:top="1080" w:right="1040" w:bottom="940" w:left="880" w:header="0" w:footer="744" w:gutter="0"/>
          <w:cols w:space="720"/>
        </w:sectPr>
      </w:pPr>
    </w:p>
    <w:p w14:paraId="02BAD583" w14:textId="77777777" w:rsidR="002E0F7F" w:rsidRPr="005B06AD" w:rsidRDefault="0079706B" w:rsidP="00F767EA">
      <w:pPr>
        <w:pStyle w:val="Corpotesto"/>
        <w:spacing w:before="68"/>
        <w:ind w:left="848" w:right="507" w:hanging="720"/>
        <w:jc w:val="both"/>
      </w:pPr>
      <w:proofErr w:type="spellStart"/>
      <w:r w:rsidRPr="005B06AD">
        <w:lastRenderedPageBreak/>
        <w:t>Dlugokencky</w:t>
      </w:r>
      <w:proofErr w:type="spellEnd"/>
      <w:r w:rsidRPr="005B06AD">
        <w:t xml:space="preserve"> E, Steele L, Lang P, </w:t>
      </w:r>
      <w:proofErr w:type="spellStart"/>
      <w:r w:rsidRPr="005B06AD">
        <w:t>Masarie</w:t>
      </w:r>
      <w:proofErr w:type="spellEnd"/>
      <w:r w:rsidRPr="005B06AD">
        <w:t xml:space="preserve"> K. 1994. The growth rate and distribution of atmospheric methane. Journal of Geophysical Research: Atmospheres </w:t>
      </w:r>
      <w:r w:rsidRPr="005B06AD">
        <w:rPr>
          <w:b/>
        </w:rPr>
        <w:t>99</w:t>
      </w:r>
      <w:r w:rsidRPr="005B06AD">
        <w:t>:17021–17043.</w:t>
      </w:r>
    </w:p>
    <w:p w14:paraId="549DC400" w14:textId="77777777" w:rsidR="002E0F7F" w:rsidRPr="005B06AD" w:rsidRDefault="0079706B" w:rsidP="00F767EA">
      <w:pPr>
        <w:pStyle w:val="Corpotesto"/>
        <w:ind w:left="848" w:right="153" w:hanging="720"/>
        <w:jc w:val="both"/>
      </w:pPr>
      <w:r w:rsidRPr="005B06AD">
        <w:t xml:space="preserve">Dore JE, Lukas R, Sadler DW, Church MJ, Karl DM. 2009. Physical and biogeochemical modulation of ocean acidification in the central North Pacific. Proceedings of the National Academy of Sciences </w:t>
      </w:r>
      <w:r w:rsidRPr="005B06AD">
        <w:rPr>
          <w:b/>
        </w:rPr>
        <w:t>106</w:t>
      </w:r>
      <w:r w:rsidRPr="005B06AD">
        <w:t>:12235–12240.</w:t>
      </w:r>
    </w:p>
    <w:p w14:paraId="437523CC" w14:textId="77777777" w:rsidR="002E0F7F" w:rsidRPr="005B06AD" w:rsidRDefault="0079706B" w:rsidP="00F767EA">
      <w:pPr>
        <w:pStyle w:val="Corpotesto"/>
        <w:spacing w:before="1"/>
        <w:ind w:left="848" w:right="1673" w:hanging="720"/>
        <w:jc w:val="both"/>
      </w:pPr>
      <w:r w:rsidRPr="005B06AD">
        <w:t xml:space="preserve">Ed </w:t>
      </w:r>
      <w:proofErr w:type="spellStart"/>
      <w:r w:rsidRPr="005B06AD">
        <w:t>Dlugokencky</w:t>
      </w:r>
      <w:proofErr w:type="spellEnd"/>
      <w:r w:rsidRPr="005B06AD">
        <w:t>, NOAA/ESRL. 2019. Trends in Atmospheric Methane. Available from htt</w:t>
      </w:r>
      <w:hyperlink r:id="rId19">
        <w:r w:rsidRPr="005B06AD">
          <w:t>ps://www</w:t>
        </w:r>
      </w:hyperlink>
      <w:r w:rsidRPr="005B06AD">
        <w:t>.esr</w:t>
      </w:r>
      <w:hyperlink r:id="rId20">
        <w:r w:rsidRPr="005B06AD">
          <w:t>l.noaa.gov/gmd/ccgg/trends_ch4</w:t>
        </w:r>
      </w:hyperlink>
      <w:r w:rsidRPr="005B06AD">
        <w:t>/ (accessed September 4, 2019).</w:t>
      </w:r>
    </w:p>
    <w:p w14:paraId="7FEB13E2" w14:textId="77777777" w:rsidR="002E0F7F" w:rsidRPr="005B06AD" w:rsidRDefault="0079706B" w:rsidP="00F767EA">
      <w:pPr>
        <w:pStyle w:val="Corpotesto"/>
        <w:ind w:left="848" w:right="241" w:hanging="720"/>
        <w:jc w:val="both"/>
      </w:pPr>
      <w:r w:rsidRPr="005B06AD">
        <w:t xml:space="preserve">FAOSTAT. 2019. FAOSTAT Database on Agriculture. Available from </w:t>
      </w:r>
      <w:hyperlink r:id="rId21">
        <w:r w:rsidRPr="005B06AD">
          <w:t xml:space="preserve">http://faostat.fao.org/ </w:t>
        </w:r>
      </w:hyperlink>
      <w:r w:rsidRPr="005B06AD">
        <w:t>(accessed August 26, 2019).</w:t>
      </w:r>
    </w:p>
    <w:p w14:paraId="7866CFF1" w14:textId="77777777" w:rsidR="002E0F7F" w:rsidRPr="005B06AD" w:rsidRDefault="0079706B" w:rsidP="00F767EA">
      <w:pPr>
        <w:pStyle w:val="Corpotesto"/>
        <w:ind w:left="848" w:right="1939" w:hanging="720"/>
        <w:jc w:val="both"/>
      </w:pPr>
      <w:r w:rsidRPr="005B06AD">
        <w:t>Fossil Free. 2019. 1000+ Divestment Commitments. Available from https://gofossilfree.org/divestment/commitments/ (accessed August 30, 2019).</w:t>
      </w:r>
    </w:p>
    <w:p w14:paraId="1B4440B9" w14:textId="77777777" w:rsidR="002E0F7F" w:rsidRPr="005B06AD" w:rsidRDefault="0079706B" w:rsidP="00F767EA">
      <w:pPr>
        <w:pStyle w:val="Corpotesto"/>
        <w:ind w:left="848" w:right="913" w:hanging="720"/>
        <w:jc w:val="both"/>
      </w:pPr>
      <w:r w:rsidRPr="005B06AD">
        <w:t xml:space="preserve">GSFC. 2017. Global Mean Sea Level Trend from Integrated Multi-Mission Ocean Altimeters TOPEX/Poseidon, Jason-1, OSTM/Jason-2 Version 4.2 Ver. 4.2 PO.DAAC. CA, USA. Available from </w:t>
      </w:r>
      <w:hyperlink r:id="rId22">
        <w:r w:rsidRPr="005B06AD">
          <w:t>http://dx.doi.org/10.5067/GMSLM-TJ142</w:t>
        </w:r>
      </w:hyperlink>
      <w:r w:rsidRPr="005B06AD">
        <w:t xml:space="preserve"> (accessed September 4, 2019).</w:t>
      </w:r>
    </w:p>
    <w:p w14:paraId="2473A98A" w14:textId="7ECE5BFB" w:rsidR="002E0F7F" w:rsidRPr="005B06AD" w:rsidRDefault="0079706B" w:rsidP="00F767EA">
      <w:pPr>
        <w:pStyle w:val="Corpotesto"/>
        <w:ind w:left="848" w:right="252" w:hanging="720"/>
        <w:jc w:val="both"/>
      </w:pPr>
      <w:r w:rsidRPr="005B06AD">
        <w:t xml:space="preserve">Hansen MC et al. 2013. High-Resolution Global Maps of 21st-Century Forest Cover Change. Science </w:t>
      </w:r>
      <w:r w:rsidRPr="005B06AD">
        <w:rPr>
          <w:b/>
        </w:rPr>
        <w:t>342</w:t>
      </w:r>
      <w:r w:rsidRPr="005B06AD">
        <w:t>:850-853. Data available on-line from</w:t>
      </w:r>
      <w:hyperlink r:id="rId23" w:history="1">
        <w:r w:rsidR="003F0F67" w:rsidRPr="005B06AD">
          <w:rPr>
            <w:rStyle w:val="Collegamentoipertestuale"/>
            <w:color w:val="auto"/>
          </w:rPr>
          <w:t>: http://earthengine</w:t>
        </w:r>
      </w:hyperlink>
      <w:r w:rsidRPr="005B06AD">
        <w:t>p</w:t>
      </w:r>
      <w:hyperlink r:id="rId24">
        <w:r w:rsidRPr="005B06AD">
          <w:t>artners.appspot.com/science-2013-</w:t>
        </w:r>
      </w:hyperlink>
      <w:r w:rsidRPr="005B06AD">
        <w:t xml:space="preserve"> global-forest. Accessed through Global Forest Watch on 8/26/19. </w:t>
      </w:r>
      <w:hyperlink r:id="rId25">
        <w:r w:rsidRPr="005B06AD">
          <w:t>www.globalforestwatch.org.</w:t>
        </w:r>
      </w:hyperlink>
    </w:p>
    <w:p w14:paraId="043BCCAF" w14:textId="77777777" w:rsidR="002E0F7F" w:rsidRPr="005B06AD" w:rsidRDefault="0079706B" w:rsidP="00F767EA">
      <w:pPr>
        <w:pStyle w:val="Corpotesto"/>
        <w:ind w:left="848" w:right="1120" w:hanging="720"/>
        <w:jc w:val="both"/>
      </w:pPr>
      <w:r w:rsidRPr="005B06AD">
        <w:t xml:space="preserve">HOT. 2019. Hawaii Ocean Time-series (HOT). Available from </w:t>
      </w:r>
      <w:hyperlink r:id="rId26">
        <w:r w:rsidRPr="005B06AD">
          <w:t xml:space="preserve">http://hahana.soest.hawaii.edu/hot/products/products.html </w:t>
        </w:r>
      </w:hyperlink>
      <w:r w:rsidRPr="005B06AD">
        <w:t>(accessed August 26, 2019).</w:t>
      </w:r>
    </w:p>
    <w:p w14:paraId="0527F5DF" w14:textId="77777777" w:rsidR="002E0F7F" w:rsidRPr="005B06AD" w:rsidRDefault="0079706B" w:rsidP="00F767EA">
      <w:pPr>
        <w:pStyle w:val="Corpotesto"/>
        <w:ind w:left="848" w:right="1230" w:hanging="720"/>
        <w:jc w:val="both"/>
      </w:pPr>
      <w:r w:rsidRPr="005B06AD">
        <w:t>IEA. 2018. World Energy Outlook 2018. International Energy Agency, Paris. Available from https://doi.org/10.1787/weo-2018-en.</w:t>
      </w:r>
    </w:p>
    <w:p w14:paraId="69102A80" w14:textId="77777777" w:rsidR="002E0F7F" w:rsidRPr="005B06AD" w:rsidRDefault="0079706B" w:rsidP="00F767EA">
      <w:pPr>
        <w:pStyle w:val="Corpotesto"/>
        <w:ind w:left="848" w:right="564" w:hanging="720"/>
        <w:jc w:val="both"/>
      </w:pPr>
      <w:r w:rsidRPr="005B06AD">
        <w:t>International Energy Agency. 2019a. Commentary: Fossil fuel consumption subsidies bounced back strongly in 2018. Available from htt</w:t>
      </w:r>
      <w:hyperlink r:id="rId27">
        <w:r w:rsidRPr="005B06AD">
          <w:t>ps://www.iea.org/newsroo</w:t>
        </w:r>
      </w:hyperlink>
      <w:r w:rsidRPr="005B06AD">
        <w:t>m</w:t>
      </w:r>
      <w:hyperlink r:id="rId28">
        <w:r w:rsidRPr="005B06AD">
          <w:t>/news/2019/june/fossil-fuel-</w:t>
        </w:r>
      </w:hyperlink>
      <w:r w:rsidRPr="005B06AD">
        <w:t xml:space="preserve"> consumption-subsidies-bounced-back-strongly-in-2018.html (accessed August 26, 2019).</w:t>
      </w:r>
    </w:p>
    <w:p w14:paraId="2C3B5D13" w14:textId="77777777" w:rsidR="002E0F7F" w:rsidRPr="005B06AD" w:rsidRDefault="0079706B" w:rsidP="00F767EA">
      <w:pPr>
        <w:pStyle w:val="Corpotesto"/>
        <w:ind w:left="848" w:right="677" w:hanging="720"/>
        <w:jc w:val="both"/>
      </w:pPr>
      <w:r w:rsidRPr="005B06AD">
        <w:t>International Energy Agency. 2019b. World Energy Outlook: Fossil-fuel subsidies. Available from htt</w:t>
      </w:r>
      <w:hyperlink r:id="rId29">
        <w:r w:rsidRPr="005B06AD">
          <w:t>ps://www</w:t>
        </w:r>
      </w:hyperlink>
      <w:r w:rsidRPr="005B06AD">
        <w:t>.iea</w:t>
      </w:r>
      <w:hyperlink r:id="rId30">
        <w:r w:rsidRPr="005B06AD">
          <w:t xml:space="preserve">.org/weo/energysubsidies/ </w:t>
        </w:r>
      </w:hyperlink>
      <w:r w:rsidRPr="005B06AD">
        <w:t>(accessed August 26, 2019).</w:t>
      </w:r>
    </w:p>
    <w:p w14:paraId="7C6E5CF1" w14:textId="77777777" w:rsidR="002E0F7F" w:rsidRPr="005B06AD" w:rsidRDefault="0079706B" w:rsidP="00F767EA">
      <w:pPr>
        <w:pStyle w:val="Corpotesto"/>
        <w:ind w:left="848" w:right="847" w:hanging="720"/>
        <w:jc w:val="both"/>
      </w:pPr>
      <w:proofErr w:type="spellStart"/>
      <w:r w:rsidRPr="005B06AD">
        <w:t>Masarie</w:t>
      </w:r>
      <w:proofErr w:type="spellEnd"/>
      <w:r w:rsidRPr="005B06AD">
        <w:t xml:space="preserve"> KA, Tans PP. 1995. Extension and integration of atmospheric carbon dioxide data into a globally consistent measurement record. Journal of Geophysical Research: Atmospheres </w:t>
      </w:r>
      <w:r w:rsidRPr="005B06AD">
        <w:rPr>
          <w:b/>
        </w:rPr>
        <w:t>100</w:t>
      </w:r>
      <w:r w:rsidRPr="005B06AD">
        <w:t>:11593–11610.</w:t>
      </w:r>
    </w:p>
    <w:p w14:paraId="30F08ED9" w14:textId="77777777" w:rsidR="002E0F7F" w:rsidRPr="005B06AD" w:rsidRDefault="0079706B" w:rsidP="00F767EA">
      <w:pPr>
        <w:pStyle w:val="Corpotesto"/>
        <w:ind w:left="848" w:hanging="720"/>
        <w:jc w:val="both"/>
      </w:pPr>
      <w:r w:rsidRPr="005B06AD">
        <w:t xml:space="preserve">Munich Re. 2019, January. </w:t>
      </w:r>
      <w:proofErr w:type="spellStart"/>
      <w:r w:rsidRPr="005B06AD">
        <w:t>NatCatSERVICE</w:t>
      </w:r>
      <w:proofErr w:type="spellEnd"/>
      <w:r w:rsidRPr="005B06AD">
        <w:t>. Available from https://natcatservice.munichre.com/ (accessed August 26, 2019).</w:t>
      </w:r>
    </w:p>
    <w:p w14:paraId="17A4FA12" w14:textId="77777777" w:rsidR="002E0F7F" w:rsidRPr="005B06AD" w:rsidRDefault="0079706B" w:rsidP="00F767EA">
      <w:pPr>
        <w:pStyle w:val="Corpotesto"/>
        <w:ind w:left="848" w:right="2479" w:hanging="720"/>
        <w:jc w:val="both"/>
      </w:pPr>
      <w:r w:rsidRPr="005B06AD">
        <w:t>NASA. 2019. Global Climate Change: Vital Signs of the Planet. Available from https://climate.nasa.gov/ (accessed August 26, 2019).</w:t>
      </w:r>
    </w:p>
    <w:p w14:paraId="2F1A32D9" w14:textId="77777777" w:rsidR="002E0F7F" w:rsidRPr="005B06AD" w:rsidRDefault="0079706B" w:rsidP="00F767EA">
      <w:pPr>
        <w:pStyle w:val="Corpotesto"/>
        <w:ind w:left="848" w:right="661" w:hanging="720"/>
        <w:jc w:val="both"/>
      </w:pPr>
      <w:r w:rsidRPr="005B06AD">
        <w:t>National Interagency Coordination Center. 2018. National Interagency Fire Center. Available from htt</w:t>
      </w:r>
      <w:hyperlink r:id="rId31">
        <w:r w:rsidRPr="005B06AD">
          <w:t>ps://www.nifc.gov/fireInfo/f</w:t>
        </w:r>
      </w:hyperlink>
      <w:r w:rsidRPr="005B06AD">
        <w:t>ireI</w:t>
      </w:r>
      <w:hyperlink r:id="rId32">
        <w:r w:rsidRPr="005B06AD">
          <w:t>nfo_stats_totalFires.ht</w:t>
        </w:r>
      </w:hyperlink>
      <w:r w:rsidRPr="005B06AD">
        <w:t>m</w:t>
      </w:r>
      <w:hyperlink r:id="rId33">
        <w:r w:rsidRPr="005B06AD">
          <w:t xml:space="preserve">l </w:t>
        </w:r>
      </w:hyperlink>
      <w:r w:rsidRPr="005B06AD">
        <w:t>(accessed August 26, 2019).</w:t>
      </w:r>
    </w:p>
    <w:p w14:paraId="1B1D6C0D" w14:textId="77777777" w:rsidR="002E0F7F" w:rsidRPr="005B06AD" w:rsidRDefault="0079706B" w:rsidP="00F767EA">
      <w:pPr>
        <w:pStyle w:val="Corpotesto"/>
        <w:ind w:left="848" w:right="548" w:hanging="720"/>
        <w:jc w:val="both"/>
      </w:pPr>
      <w:r w:rsidRPr="005B06AD">
        <w:t>NOAA. 2019a. National Centers for Environmental Information: Global Greenhouse Gas Reference Network. Available from htt</w:t>
      </w:r>
      <w:hyperlink r:id="rId34">
        <w:r w:rsidRPr="005B06AD">
          <w:t>ps://www</w:t>
        </w:r>
      </w:hyperlink>
      <w:r w:rsidRPr="005B06AD">
        <w:t>.esr</w:t>
      </w:r>
      <w:hyperlink r:id="rId35">
        <w:r w:rsidRPr="005B06AD">
          <w:t>l.noaa.gov/gmd/ccgg/trends/</w:t>
        </w:r>
      </w:hyperlink>
      <w:r w:rsidRPr="005B06AD">
        <w:t>g</w:t>
      </w:r>
      <w:hyperlink r:id="rId36">
        <w:r w:rsidRPr="005B06AD">
          <w:t xml:space="preserve">lobal.html </w:t>
        </w:r>
      </w:hyperlink>
      <w:r w:rsidRPr="005B06AD">
        <w:t>(accessed August 26, 2019).</w:t>
      </w:r>
    </w:p>
    <w:p w14:paraId="52C6F18F" w14:textId="77777777" w:rsidR="002E0F7F" w:rsidRPr="005B06AD" w:rsidRDefault="0079706B" w:rsidP="00F767EA">
      <w:pPr>
        <w:pStyle w:val="Corpotesto"/>
        <w:ind w:left="848" w:right="206" w:hanging="720"/>
        <w:jc w:val="both"/>
      </w:pPr>
      <w:r w:rsidRPr="005B06AD">
        <w:t>NOAA. 2019b. National Centers for Environmental Information: Global Ocean Heat and Salt Content. Available from htt</w:t>
      </w:r>
      <w:hyperlink r:id="rId37">
        <w:r w:rsidRPr="005B06AD">
          <w:t>ps://www.nodc.noaa.gov/</w:t>
        </w:r>
      </w:hyperlink>
      <w:r w:rsidRPr="005B06AD">
        <w:t>OC5/</w:t>
      </w:r>
      <w:hyperlink r:id="rId38">
        <w:r w:rsidRPr="005B06AD">
          <w:t xml:space="preserve">3M_HEAT_CONTENT/ </w:t>
        </w:r>
      </w:hyperlink>
      <w:r w:rsidRPr="005B06AD">
        <w:t>(accessed August 26, 2019).</w:t>
      </w:r>
    </w:p>
    <w:p w14:paraId="352DD5B0" w14:textId="77777777" w:rsidR="002E0F7F" w:rsidRPr="005B06AD" w:rsidRDefault="0079706B" w:rsidP="00F767EA">
      <w:pPr>
        <w:pStyle w:val="Corpotesto"/>
        <w:jc w:val="both"/>
      </w:pPr>
      <w:r w:rsidRPr="005B06AD">
        <w:t>NOAA/ESRL Global Monitoring Division. 2019. Nitrous Oxide (N2O) — Combined Data Set.</w:t>
      </w:r>
    </w:p>
    <w:p w14:paraId="3A6B9981" w14:textId="77777777" w:rsidR="002E0F7F" w:rsidRPr="005B06AD" w:rsidRDefault="0079706B" w:rsidP="00F767EA">
      <w:pPr>
        <w:pStyle w:val="Corpotesto"/>
        <w:ind w:left="848" w:right="107"/>
        <w:jc w:val="both"/>
      </w:pPr>
      <w:r w:rsidRPr="005B06AD">
        <w:t xml:space="preserve">Available from </w:t>
      </w:r>
      <w:hyperlink r:id="rId39">
        <w:r w:rsidRPr="005B06AD">
          <w:t>https://www</w:t>
        </w:r>
      </w:hyperlink>
      <w:r w:rsidRPr="005B06AD">
        <w:t>.esr</w:t>
      </w:r>
      <w:hyperlink r:id="rId40">
        <w:r w:rsidRPr="005B06AD">
          <w:t>l.noaa.gov/gmd/hats/combined/N2O.ht</w:t>
        </w:r>
      </w:hyperlink>
      <w:r w:rsidRPr="005B06AD">
        <w:t>m</w:t>
      </w:r>
      <w:hyperlink r:id="rId41">
        <w:r w:rsidRPr="005B06AD">
          <w:t xml:space="preserve">l </w:t>
        </w:r>
      </w:hyperlink>
      <w:r w:rsidRPr="005B06AD">
        <w:t>(accessed September 4, 2019).</w:t>
      </w:r>
    </w:p>
    <w:p w14:paraId="4CECB82A" w14:textId="77777777" w:rsidR="002E0F7F" w:rsidRPr="005B06AD" w:rsidRDefault="0079706B" w:rsidP="00F767EA">
      <w:pPr>
        <w:pStyle w:val="Corpotesto"/>
        <w:ind w:left="848" w:right="713" w:hanging="720"/>
        <w:jc w:val="both"/>
      </w:pPr>
      <w:r w:rsidRPr="005B06AD">
        <w:t>R Core Team. 2018. R: A Language and Environment for Statistical Computing. R Foundation for Statistical Computing, Vienna, Austria. Available from htt</w:t>
      </w:r>
      <w:hyperlink r:id="rId42">
        <w:r w:rsidRPr="005B06AD">
          <w:t>ps://www</w:t>
        </w:r>
      </w:hyperlink>
      <w:r w:rsidRPr="005B06AD">
        <w:t>.R-</w:t>
      </w:r>
      <w:hyperlink r:id="rId43">
        <w:r w:rsidRPr="005B06AD">
          <w:t>project</w:t>
        </w:r>
      </w:hyperlink>
      <w:r w:rsidRPr="005B06AD">
        <w:t>.o</w:t>
      </w:r>
      <w:hyperlink r:id="rId44">
        <w:r w:rsidRPr="005B06AD">
          <w:t>rg/.</w:t>
        </w:r>
      </w:hyperlink>
    </w:p>
    <w:p w14:paraId="3061F5FB" w14:textId="77777777" w:rsidR="002E0F7F" w:rsidRPr="005B06AD" w:rsidRDefault="0079706B" w:rsidP="00F767EA">
      <w:pPr>
        <w:pStyle w:val="Corpotesto"/>
        <w:spacing w:before="1"/>
        <w:ind w:left="848" w:right="1214" w:hanging="720"/>
        <w:jc w:val="both"/>
      </w:pPr>
      <w:r w:rsidRPr="005B06AD">
        <w:t>The World Bank. 2019a. Fertility rate, total (births per woman). World Bank. Available from https://data.worldbank.org/indicator/SP.DYN.TFRT.IN (accessed August 26, 2019).</w:t>
      </w:r>
    </w:p>
    <w:p w14:paraId="3926660A" w14:textId="77777777" w:rsidR="002E0F7F" w:rsidRPr="005B06AD" w:rsidRDefault="002E0F7F" w:rsidP="00F767EA">
      <w:pPr>
        <w:jc w:val="both"/>
        <w:sectPr w:rsidR="002E0F7F" w:rsidRPr="005B06AD">
          <w:pgSz w:w="12240" w:h="15840"/>
          <w:pgMar w:top="1080" w:right="1040" w:bottom="940" w:left="880" w:header="0" w:footer="744" w:gutter="0"/>
          <w:cols w:space="720"/>
        </w:sectPr>
      </w:pPr>
    </w:p>
    <w:p w14:paraId="11256EE5" w14:textId="77777777" w:rsidR="002E0F7F" w:rsidRPr="005B06AD" w:rsidRDefault="0079706B" w:rsidP="00F767EA">
      <w:pPr>
        <w:pStyle w:val="Corpotesto"/>
        <w:spacing w:before="68"/>
        <w:ind w:left="848" w:right="1153" w:hanging="720"/>
        <w:jc w:val="both"/>
      </w:pPr>
      <w:r w:rsidRPr="005B06AD">
        <w:lastRenderedPageBreak/>
        <w:t>The World Bank. 2019b. GDP (current US$). World Bank. Available from https://data.worldbank.org/indicator/NY.GDP.MKTP.CD (accessed August 26, 2019).</w:t>
      </w:r>
    </w:p>
    <w:p w14:paraId="641BF1D3" w14:textId="77777777" w:rsidR="002E0F7F" w:rsidRPr="005B06AD" w:rsidRDefault="0079706B" w:rsidP="00F767EA">
      <w:pPr>
        <w:pStyle w:val="Corpotesto"/>
        <w:ind w:left="848" w:right="1734" w:hanging="720"/>
        <w:jc w:val="both"/>
      </w:pPr>
      <w:r w:rsidRPr="005B06AD">
        <w:t>The World Bank. 2019c. Air transport, passengers carried. World Bank. Available from https://data.worldbank.org/indicator/IS.AIR.PSGR (accessed August 26, 2019).</w:t>
      </w:r>
    </w:p>
    <w:p w14:paraId="1F19130E" w14:textId="77777777" w:rsidR="002E0F7F" w:rsidRPr="005B06AD" w:rsidRDefault="0079706B" w:rsidP="00F767EA">
      <w:pPr>
        <w:pStyle w:val="Corpotesto"/>
        <w:spacing w:before="1"/>
        <w:ind w:left="848" w:right="314" w:hanging="720"/>
        <w:jc w:val="both"/>
      </w:pPr>
      <w:r w:rsidRPr="005B06AD">
        <w:t>WGMS. 2019. The World Glacier Monitoring Service. Available from https://wgms.ch/global-glacier- state/ (accessed August 26, 2019).</w:t>
      </w:r>
    </w:p>
    <w:p w14:paraId="1FFCCD0A" w14:textId="77777777" w:rsidR="002E0F7F" w:rsidRPr="005B06AD" w:rsidRDefault="0079706B" w:rsidP="00F767EA">
      <w:pPr>
        <w:pStyle w:val="Corpotesto"/>
        <w:ind w:left="848" w:right="573" w:hanging="720"/>
        <w:jc w:val="both"/>
      </w:pPr>
      <w:r w:rsidRPr="005B06AD">
        <w:t>World Bank Group. 2019. State and Trends of Carbon Pricing 2019. World Bank, Washington, DC. Available from https://openknowledge.worldbank.org/bitstream/handle/10986/31755/9781464814358.pdf (accessed August 26, 2019).</w:t>
      </w:r>
    </w:p>
    <w:sectPr w:rsidR="002E0F7F" w:rsidRPr="005B06AD">
      <w:pgSz w:w="12240" w:h="15840"/>
      <w:pgMar w:top="1080" w:right="1040" w:bottom="940" w:left="880" w:header="0" w:footer="7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750AD" w14:textId="77777777" w:rsidR="0033407E" w:rsidRDefault="0033407E">
      <w:r>
        <w:separator/>
      </w:r>
    </w:p>
  </w:endnote>
  <w:endnote w:type="continuationSeparator" w:id="0">
    <w:p w14:paraId="56C6D287" w14:textId="77777777" w:rsidR="0033407E" w:rsidRDefault="0033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2261D" w14:textId="7A0CF5A9" w:rsidR="00DE5234" w:rsidRDefault="00F767EA">
    <w:pPr>
      <w:pStyle w:val="Corpotesto"/>
      <w:spacing w:line="14" w:lineRule="auto"/>
      <w:ind w:left="0"/>
      <w:rPr>
        <w:sz w:val="20"/>
      </w:rPr>
    </w:pPr>
    <w:r>
      <w:rPr>
        <w:noProof/>
        <w:lang w:val="it-IT" w:eastAsia="ko-KR" w:bidi="ar-SA"/>
      </w:rPr>
      <mc:AlternateContent>
        <mc:Choice Requires="wps">
          <w:drawing>
            <wp:anchor distT="0" distB="0" distL="114300" distR="114300" simplePos="0" relativeHeight="251657728" behindDoc="1" locked="0" layoutInCell="1" allowOverlap="1" wp14:anchorId="65732C91" wp14:editId="4CF5500E">
              <wp:simplePos x="0" y="0"/>
              <wp:positionH relativeFrom="page">
                <wp:posOffset>6874510</wp:posOffset>
              </wp:positionH>
              <wp:positionV relativeFrom="page">
                <wp:posOffset>9446895</wp:posOffset>
              </wp:positionV>
              <wp:extent cx="193040" cy="16510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1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E81A1FA" w14:textId="77777777" w:rsidR="00DE5234" w:rsidRDefault="00DE5234">
                          <w:pPr>
                            <w:spacing w:line="244" w:lineRule="exact"/>
                            <w:ind w:left="40"/>
                            <w:rPr>
                              <w:rFonts w:ascii="Calibri"/>
                            </w:rPr>
                          </w:pPr>
                          <w:r>
                            <w:rPr>
                              <w:rFonts w:ascii="Calibri"/>
                              <w:noProof/>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32C91" id="_x0000_t202" coordsize="21600,21600" o:spt="202" path="m,l,21600r21600,l21600,xe">
              <v:stroke joinstyle="miter"/>
              <v:path gradientshapeok="t" o:connecttype="rect"/>
            </v:shapetype>
            <v:shape id="Text Box 1" o:spid="_x0000_s1026" type="#_x0000_t202" style="position:absolute;margin-left:541.3pt;margin-top:743.85pt;width:15.2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" filled="f" stroked="f">
              <v:textbox inset="0,0,0,0">
                <w:txbxContent>
                  <w:p w14:paraId="0E81A1FA" w14:textId="77777777" w:rsidR="00DE5234" w:rsidRDefault="00DE5234">
                    <w:pPr>
                      <w:spacing w:line="244" w:lineRule="exact"/>
                      <w:ind w:left="40"/>
                      <w:rPr>
                        <w:rFonts w:ascii="Calibri"/>
                      </w:rPr>
                    </w:pPr>
                    <w:r>
                      <w:rPr>
                        <w:rFonts w:ascii="Calibri"/>
                        <w:noProof/>
                      </w:rPr>
                      <w:t>15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20A58" w14:textId="77777777" w:rsidR="0033407E" w:rsidRDefault="0033407E">
      <w:r>
        <w:separator/>
      </w:r>
    </w:p>
  </w:footnote>
  <w:footnote w:type="continuationSeparator" w:id="0">
    <w:p w14:paraId="25956E52" w14:textId="77777777" w:rsidR="0033407E" w:rsidRDefault="00334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1MDaxNDIwNjIxMTRV0lEKTi0uzszPAykwqgUACRwTyiwAAAA="/>
  </w:docVars>
  <w:rsids>
    <w:rsidRoot w:val="002E0F7F"/>
    <w:rsid w:val="000625A2"/>
    <w:rsid w:val="00066FE4"/>
    <w:rsid w:val="000A7734"/>
    <w:rsid w:val="000B1B41"/>
    <w:rsid w:val="000C2444"/>
    <w:rsid w:val="000F2897"/>
    <w:rsid w:val="00166A96"/>
    <w:rsid w:val="00177988"/>
    <w:rsid w:val="001A065A"/>
    <w:rsid w:val="001B263A"/>
    <w:rsid w:val="001F4DBB"/>
    <w:rsid w:val="001F7481"/>
    <w:rsid w:val="00205301"/>
    <w:rsid w:val="002536D2"/>
    <w:rsid w:val="0028443C"/>
    <w:rsid w:val="002918A0"/>
    <w:rsid w:val="002A357B"/>
    <w:rsid w:val="002E0F7F"/>
    <w:rsid w:val="002F6F83"/>
    <w:rsid w:val="00300872"/>
    <w:rsid w:val="0030429D"/>
    <w:rsid w:val="003207FF"/>
    <w:rsid w:val="0033407E"/>
    <w:rsid w:val="0037264E"/>
    <w:rsid w:val="003A04BB"/>
    <w:rsid w:val="003C234F"/>
    <w:rsid w:val="003C5DF7"/>
    <w:rsid w:val="003F0F67"/>
    <w:rsid w:val="00406CC7"/>
    <w:rsid w:val="00410522"/>
    <w:rsid w:val="00416D71"/>
    <w:rsid w:val="00445D44"/>
    <w:rsid w:val="00447B44"/>
    <w:rsid w:val="004A0D3C"/>
    <w:rsid w:val="004B30E9"/>
    <w:rsid w:val="005351BE"/>
    <w:rsid w:val="005615FE"/>
    <w:rsid w:val="005B06AD"/>
    <w:rsid w:val="005B5797"/>
    <w:rsid w:val="005C5F16"/>
    <w:rsid w:val="005F202C"/>
    <w:rsid w:val="00620F73"/>
    <w:rsid w:val="00625FD2"/>
    <w:rsid w:val="00663D26"/>
    <w:rsid w:val="00683B93"/>
    <w:rsid w:val="006B5CA4"/>
    <w:rsid w:val="006C07CF"/>
    <w:rsid w:val="006C2462"/>
    <w:rsid w:val="006F509C"/>
    <w:rsid w:val="0070658A"/>
    <w:rsid w:val="00717FBF"/>
    <w:rsid w:val="0074662B"/>
    <w:rsid w:val="00766C89"/>
    <w:rsid w:val="0079706B"/>
    <w:rsid w:val="007C24E7"/>
    <w:rsid w:val="007C4628"/>
    <w:rsid w:val="007D1E2E"/>
    <w:rsid w:val="007D406A"/>
    <w:rsid w:val="008365CF"/>
    <w:rsid w:val="00871400"/>
    <w:rsid w:val="00882D09"/>
    <w:rsid w:val="00885F1C"/>
    <w:rsid w:val="008A53AD"/>
    <w:rsid w:val="008A70A7"/>
    <w:rsid w:val="008B5803"/>
    <w:rsid w:val="00917C9D"/>
    <w:rsid w:val="009324D0"/>
    <w:rsid w:val="00975AFC"/>
    <w:rsid w:val="009942B9"/>
    <w:rsid w:val="0099782A"/>
    <w:rsid w:val="009B077F"/>
    <w:rsid w:val="009D7E56"/>
    <w:rsid w:val="009E4E0B"/>
    <w:rsid w:val="00A01B9E"/>
    <w:rsid w:val="00A24FA7"/>
    <w:rsid w:val="00AE031F"/>
    <w:rsid w:val="00AF7364"/>
    <w:rsid w:val="00B043BD"/>
    <w:rsid w:val="00B31549"/>
    <w:rsid w:val="00B35D05"/>
    <w:rsid w:val="00B64836"/>
    <w:rsid w:val="00BB7D60"/>
    <w:rsid w:val="00BF6DA2"/>
    <w:rsid w:val="00C3506B"/>
    <w:rsid w:val="00C45729"/>
    <w:rsid w:val="00D0010D"/>
    <w:rsid w:val="00D27756"/>
    <w:rsid w:val="00D51BEB"/>
    <w:rsid w:val="00D545AD"/>
    <w:rsid w:val="00D6239E"/>
    <w:rsid w:val="00D75C4C"/>
    <w:rsid w:val="00D84998"/>
    <w:rsid w:val="00D85C12"/>
    <w:rsid w:val="00D91CD0"/>
    <w:rsid w:val="00DA47FE"/>
    <w:rsid w:val="00DB1E83"/>
    <w:rsid w:val="00DE5234"/>
    <w:rsid w:val="00DF1BBF"/>
    <w:rsid w:val="00E403BC"/>
    <w:rsid w:val="00E43709"/>
    <w:rsid w:val="00E53ACB"/>
    <w:rsid w:val="00E6540E"/>
    <w:rsid w:val="00E97531"/>
    <w:rsid w:val="00EC6345"/>
    <w:rsid w:val="00EE6C09"/>
    <w:rsid w:val="00F219F6"/>
    <w:rsid w:val="00F24C6F"/>
    <w:rsid w:val="00F767EA"/>
    <w:rsid w:val="00FE7B8A"/>
    <w:rsid w:val="00FF355E"/>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6D2CD0"/>
  <w15:docId w15:val="{5A447673-4DF5-4813-872A-2F83A359E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bidi="en-US"/>
    </w:rPr>
  </w:style>
  <w:style w:type="paragraph" w:styleId="Titolo1">
    <w:name w:val="heading 1"/>
    <w:basedOn w:val="Normale"/>
    <w:uiPriority w:val="1"/>
    <w:qFormat/>
    <w:pPr>
      <w:spacing w:before="71"/>
      <w:ind w:left="127"/>
      <w:outlineLvl w:val="0"/>
    </w:pPr>
    <w:rPr>
      <w:b/>
      <w:bCs/>
      <w:sz w:val="32"/>
      <w:szCs w:val="32"/>
    </w:rPr>
  </w:style>
  <w:style w:type="paragraph" w:styleId="Titolo2">
    <w:name w:val="heading 2"/>
    <w:basedOn w:val="Normale"/>
    <w:uiPriority w:val="1"/>
    <w:qFormat/>
    <w:pPr>
      <w:spacing w:before="72"/>
      <w:ind w:left="127"/>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1"/>
    <w:qFormat/>
    <w:pPr>
      <w:spacing w:before="69"/>
      <w:ind w:left="127"/>
    </w:pPr>
    <w:rPr>
      <w:b/>
      <w:bCs/>
      <w:sz w:val="24"/>
      <w:szCs w:val="24"/>
    </w:rPr>
  </w:style>
  <w:style w:type="paragraph" w:styleId="Sommario2">
    <w:name w:val="toc 2"/>
    <w:basedOn w:val="Normale"/>
    <w:uiPriority w:val="1"/>
    <w:qFormat/>
    <w:pPr>
      <w:spacing w:before="69"/>
      <w:ind w:left="127"/>
    </w:pPr>
    <w:rPr>
      <w:sz w:val="24"/>
      <w:szCs w:val="24"/>
    </w:rPr>
  </w:style>
  <w:style w:type="paragraph" w:styleId="Sommario3">
    <w:name w:val="toc 3"/>
    <w:basedOn w:val="Normale"/>
    <w:uiPriority w:val="1"/>
    <w:qFormat/>
    <w:pPr>
      <w:spacing w:before="69"/>
      <w:ind w:left="127"/>
    </w:pPr>
    <w:rPr>
      <w:b/>
      <w:bCs/>
      <w:i/>
    </w:rPr>
  </w:style>
  <w:style w:type="paragraph" w:styleId="Corpotesto">
    <w:name w:val="Body Text"/>
    <w:basedOn w:val="Normale"/>
    <w:uiPriority w:val="1"/>
    <w:qFormat/>
    <w:pPr>
      <w:ind w:left="127"/>
    </w:pPr>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pPr>
      <w:spacing w:before="11"/>
      <w:ind w:right="101"/>
      <w:jc w:val="right"/>
    </w:pPr>
    <w:rPr>
      <w:rFonts w:ascii="Calibri" w:eastAsia="Calibri" w:hAnsi="Calibri" w:cs="Calibri"/>
    </w:rPr>
  </w:style>
  <w:style w:type="character" w:styleId="Rimandocommento">
    <w:name w:val="annotation reference"/>
    <w:basedOn w:val="Carpredefinitoparagrafo"/>
    <w:uiPriority w:val="99"/>
    <w:semiHidden/>
    <w:unhideWhenUsed/>
    <w:rsid w:val="00885F1C"/>
    <w:rPr>
      <w:sz w:val="16"/>
      <w:szCs w:val="16"/>
    </w:rPr>
  </w:style>
  <w:style w:type="paragraph" w:styleId="Testocommento">
    <w:name w:val="annotation text"/>
    <w:basedOn w:val="Normale"/>
    <w:link w:val="TestocommentoCarattere"/>
    <w:uiPriority w:val="99"/>
    <w:semiHidden/>
    <w:unhideWhenUsed/>
    <w:rsid w:val="00885F1C"/>
    <w:rPr>
      <w:sz w:val="20"/>
      <w:szCs w:val="20"/>
    </w:rPr>
  </w:style>
  <w:style w:type="character" w:customStyle="1" w:styleId="TestocommentoCarattere">
    <w:name w:val="Testo commento Carattere"/>
    <w:basedOn w:val="Carpredefinitoparagrafo"/>
    <w:link w:val="Testocommento"/>
    <w:uiPriority w:val="99"/>
    <w:semiHidden/>
    <w:rsid w:val="00885F1C"/>
    <w:rPr>
      <w:rFonts w:ascii="Times New Roman" w:eastAsia="Times New Roman" w:hAnsi="Times New Roman" w:cs="Times New Roman"/>
      <w:sz w:val="20"/>
      <w:szCs w:val="20"/>
      <w:lang w:bidi="en-US"/>
    </w:rPr>
  </w:style>
  <w:style w:type="paragraph" w:styleId="Soggettocommento">
    <w:name w:val="annotation subject"/>
    <w:basedOn w:val="Testocommento"/>
    <w:next w:val="Testocommento"/>
    <w:link w:val="SoggettocommentoCarattere"/>
    <w:uiPriority w:val="99"/>
    <w:semiHidden/>
    <w:unhideWhenUsed/>
    <w:rsid w:val="00885F1C"/>
    <w:rPr>
      <w:b/>
      <w:bCs/>
    </w:rPr>
  </w:style>
  <w:style w:type="character" w:customStyle="1" w:styleId="SoggettocommentoCarattere">
    <w:name w:val="Soggetto commento Carattere"/>
    <w:basedOn w:val="TestocommentoCarattere"/>
    <w:link w:val="Soggettocommento"/>
    <w:uiPriority w:val="99"/>
    <w:semiHidden/>
    <w:rsid w:val="00885F1C"/>
    <w:rPr>
      <w:rFonts w:ascii="Times New Roman" w:eastAsia="Times New Roman" w:hAnsi="Times New Roman" w:cs="Times New Roman"/>
      <w:b/>
      <w:bCs/>
      <w:sz w:val="20"/>
      <w:szCs w:val="20"/>
      <w:lang w:bidi="en-US"/>
    </w:rPr>
  </w:style>
  <w:style w:type="paragraph" w:styleId="Testofumetto">
    <w:name w:val="Balloon Text"/>
    <w:basedOn w:val="Normale"/>
    <w:link w:val="TestofumettoCarattere"/>
    <w:uiPriority w:val="99"/>
    <w:semiHidden/>
    <w:unhideWhenUsed/>
    <w:rsid w:val="00885F1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85F1C"/>
    <w:rPr>
      <w:rFonts w:ascii="Segoe UI" w:eastAsia="Times New Roman" w:hAnsi="Segoe UI" w:cs="Segoe UI"/>
      <w:sz w:val="18"/>
      <w:szCs w:val="18"/>
      <w:lang w:bidi="en-US"/>
    </w:rPr>
  </w:style>
  <w:style w:type="character" w:styleId="Collegamentoipertestuale">
    <w:name w:val="Hyperlink"/>
    <w:basedOn w:val="Carpredefinitoparagrafo"/>
    <w:uiPriority w:val="99"/>
    <w:unhideWhenUsed/>
    <w:rsid w:val="00683B93"/>
    <w:rPr>
      <w:color w:val="0000FF" w:themeColor="hyperlink"/>
      <w:u w:val="single"/>
    </w:rPr>
  </w:style>
  <w:style w:type="character" w:customStyle="1" w:styleId="Menzionenonrisolta1">
    <w:name w:val="Menzione non risolta1"/>
    <w:basedOn w:val="Carpredefinitoparagrafo"/>
    <w:uiPriority w:val="99"/>
    <w:semiHidden/>
    <w:unhideWhenUsed/>
    <w:rsid w:val="00683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3" Type="http://schemas.openxmlformats.org/officeDocument/2006/relationships/webSettings" Target="webSettings.xm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41" Type="http://schemas.openxmlformats.org/officeDocument/2006/relationships/hyperlink" Target="about:blank"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hyperlink" Target="about:blank"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5072</Words>
  <Characters>28911</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Stefano Caserini</cp:lastModifiedBy>
  <cp:revision>4</cp:revision>
  <dcterms:created xsi:type="dcterms:W3CDTF">2019-11-11T01:12:00Z</dcterms:created>
  <dcterms:modified xsi:type="dcterms:W3CDTF">2019-11-15T10:22:00Z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2019-10-14T00:00:00Z</vt:filetime>
  </property>
  <property fmtid="{D5CDD505-2E9C-101B-9397-08002B2CF9AE}" pid="3" name="Creator">
    <vt:lpwstr>Microsoft® Word 2010</vt:lpwstr>
  </property>
  <property fmtid="{D5CDD505-2E9C-101B-9397-08002B2CF9AE}" pid="4" name="LastSaved">
    <vt:filetime>2019-11-06T00:00:00Z</vt:filetime>
  </property>
</Properties>
</file>